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gif" ContentType="image/gif"/>
  <Default Extension="odttf" ContentType="application/vnd.openxmlformats-officedocument.obfuscatedFont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Document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body>
    <w:p>
      <w:pPr>
        <w:spacing w:before="0" w:after="280"/>
        <w:ind w:left="0"/>
        <w:jc w:val="left"/>
      </w:pPr>
      <w:r>
        <w:drawing>
          <wp:inline distT="0" distB="0" distL="0" distR="0">
            <wp:extent cx="6223000" cy="2413000"/>
            <wp:effectExtent l="0" t="0" r="0" b="0"/>
            <wp:docPr id="1" name="Image 1" descr="Hospitality table sett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 1" descr="Hospitality table setting"/>
                    <pic:cNvPicPr/>
                  </pic:nvPicPr>
                  <pic:blipFill>
                    <a:blip r:embed="rIdMedia3"/>
                    <a:srcRect l="0" r="0" t="1531" b="1530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2413000"/>
                    </a:xfrm>
                    <a:prstGeom prst="roundRect">
                      <a:avLst>
                        <a:gd name="adj" fmla="val 4211"/>
                      </a:avLst>
                    </a:prstGeom>
                  </pic:spPr>
                </pic:pic>
              </a:graphicData>
            </a:graphic>
          </wp:inline>
        </w:drawing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15"/>
        <w:gridCol w:w="3850"/>
      </w:tblGrid>
      <w:tr>
        <w:trPr>
          <w:cantSplit/>
        </w:trPr>
        <w:tc>
          <w:tcPr>
            <w:tcW w:w="6015" w:type="dxa"/>
            <w:tcMar>
              <w:right w:w="240" w:type="dxa"/>
            </w:tcMar>
          </w:tcPr>
          <w:p>
            <w:pPr>
              <w:spacing w:after="120"/>
            </w:pPr>
            <w:r>
              <w:rPr>
                <w:b/>
                <w:bCs/>
                <w:color w:val="9C7A43"/>
                <w:spacing w:val="28"/>
                <w:sz w:val="15"/>
                <w:szCs w:val="15"/>
              </w:rPr>
              <w:t xml:space="preserve">EXECUTIVE ACCOUNT SUMMARY</w:t>
            </w:r>
          </w:p>
          <w:p>
            <w:pPr>
              <w:pStyle w:val="Heading1"/>
              <w:spacing w:after="120" w:line="252" w:lineRule="auto"/>
            </w:pPr>
            <w:bookmarkStart w:id="1" w:name="_n_5269d4f6_d4ba_4c97_b3cb_593660299026"/>
            <w:r>
              <w:rPr>
                <w:rFonts w:ascii="Source Serif 4 Display" w:hAnsi="Source Serif 4 Display" w:eastAsia="Source Serif 4 Display" w:cs="Source Serif 4 Display"/>
                <w:b/>
                <w:bCs/>
                <w:color w:val="2A2420"/>
                <w:sz w:val="60"/>
                <w:szCs w:val="60"/>
              </w:rPr>
              <w:t xml:space="preserve">Larksedge Hospitality Ltd.</w:t>
            </w:r>
            <w:bookmarkEnd w:id="1"/>
          </w:p>
          <w:p>
            <w:r>
              <w:rPr>
                <w:color w:val="6B6159"/>
                <w:sz w:val="21"/>
                <w:szCs w:val="21"/>
              </w:rPr>
              <w:t xml:space="preserve">Prepared for the account team and the customer’s leadership.</w:t>
            </w:r>
          </w:p>
        </w:tc>
        <w:tc>
          <w:tcPr>
            <w:tcW w:w="3850" w:type="dxa"/>
          </w:tcPr>
          <w:tbl>
            <w:tblPr>
              <w:tblW w:w="3850" w:type="dxa"/>
              <w:tblBorders>
                <w:top w:val="single" w:sz="4" w:space="0" w:color="E3DACD"/>
                <w:left w:val="nil"/>
                <w:bottom w:val="single" w:sz="4" w:space="0" w:color="E3DACD"/>
                <w:right w:val="nil"/>
                <w:insideH w:val="single" w:sz="4" w:space="0" w:color="E3DACD"/>
                <w:insideV w:val="nil"/>
              </w:tblBorders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>
            <w:tblGrid>
              <w:gridCol w:w="1925"/>
              <w:gridCol w:w="1925"/>
            </w:tblGrid>
            <w:tr>
              <w:trPr>
                <w:cantSplit/>
              </w:trPr>
              <w:tc>
                <w:tcPr>
                  <w:tcW w:w="1925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6B6159"/>
                      <w:sz w:val="18"/>
                      <w:szCs w:val="18"/>
                    </w:rPr>
                    <w:t xml:space="preserve">Prepared</w:t>
                  </w:r>
                </w:p>
              </w:tc>
              <w:tc>
                <w:tcPr>
                  <w:tcW w:w="1925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5 October 2026</w:t>
                  </w:r>
                </w:p>
              </w:tc>
            </w:tr>
            <w:tr>
              <w:trPr>
                <w:cantSplit/>
              </w:trPr>
              <w:tc>
                <w:tcPr>
                  <w:tcW w:w="1925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6B6159"/>
                      <w:sz w:val="18"/>
                      <w:szCs w:val="18"/>
                    </w:rPr>
                    <w:t xml:space="preserve">Account owner</w:t>
                  </w:r>
                </w:p>
              </w:tc>
              <w:tc>
                <w:tcPr>
                  <w:tcW w:w="1925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Priya Desai</w:t>
                  </w:r>
                </w:p>
              </w:tc>
            </w:tr>
            <w:tr>
              <w:trPr>
                <w:cantSplit/>
              </w:trPr>
              <w:tc>
                <w:tcPr>
                  <w:tcW w:w="1925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6B6159"/>
                      <w:sz w:val="18"/>
                      <w:szCs w:val="18"/>
                    </w:rPr>
                    <w:t xml:space="preserve">Account type</w:t>
                  </w:r>
                </w:p>
              </w:tc>
              <w:tc>
                <w:tcPr>
                  <w:tcW w:w="1925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Customer - Direct</w:t>
                  </w:r>
                </w:p>
              </w:tc>
            </w:tr>
            <w:tr>
              <w:trPr>
                <w:cantSplit/>
              </w:trPr>
              <w:tc>
                <w:tcPr>
                  <w:tcW w:w="1925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6B6159"/>
                      <w:sz w:val="18"/>
                      <w:szCs w:val="18"/>
                    </w:rPr>
                    <w:t xml:space="preserve">Industry</w:t>
                  </w:r>
                </w:p>
              </w:tc>
              <w:tc>
                <w:tcPr>
                  <w:tcW w:w="1925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Hospitality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single" w:sz="6" w:space="0" w:color="E3DACD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0" w:type="dxa"/>
          <w:left w:w="200" w:type="dxa"/>
          <w:bottom w:w="200" w:type="dxa"/>
          <w:right w:w="200" w:type="dxa"/>
        </w:tblCellMar>
      </w:tblPr>
      <w:tblGrid>
        <w:gridCol w:w="9865"/>
      </w:tblGrid>
      <w:tr>
        <w:tc>
          <w:tcPr>
            <w:tcW w:w="9865" w:type="dxa"/>
          </w:tcPr>
          <w:tbl>
            <w:tblPr>
              <w:tblW w:w="986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</w:tblPr>
            <w:tblGrid>
              <w:gridCol w:w="3288"/>
              <w:gridCol w:w="3288"/>
              <w:gridCol w:w="3288"/>
            </w:tblGrid>
            <w:tr>
              <w:trPr>
                <w:cantSplit/>
              </w:trPr>
              <w:tc>
                <w:tcPr>
                  <w:tcW w:w="3288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color w:val="6B6159"/>
                      <w:sz w:val="18"/>
                      <w:szCs w:val="18"/>
                    </w:rPr>
                    <w:t xml:space="preserve">Phone</w:t>
                  </w:r>
                  <w:r>
                    <w:rPr>
                      <w:sz w:val="18"/>
                      <w:szCs w:val="18"/>
                    </w:rPr>
                    <w:t xml:space="preserve"/>
                    <w:br/>
                    <w:t xml:space="preserve"/>
                  </w:r>
                  <w:r>
                    <w:rPr>
                      <w:sz w:val="18"/>
                      <w:szCs w:val="18"/>
                    </w:rPr>
                    <w:t xml:space="preserve">01632 960151</w:t>
                  </w:r>
                </w:p>
              </w:tc>
              <w:tc>
                <w:tcPr>
                  <w:tcW w:w="3288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color w:val="6B6159"/>
                      <w:sz w:val="18"/>
                      <w:szCs w:val="18"/>
                    </w:rPr>
                    <w:t xml:space="preserve">Website</w:t>
                  </w:r>
                  <w:r>
                    <w:rPr>
                      <w:sz w:val="18"/>
                      <w:szCs w:val="18"/>
                    </w:rPr>
                    <w:t xml:space="preserve"/>
                    <w:br/>
                    <w:t xml:space="preserve"/>
                  </w:r>
                  <w:r>
                    <w:rPr>
                      <w:sz w:val="18"/>
                      <w:szCs w:val="18"/>
                    </w:rPr>
                    <w:t xml:space="preserve">https://larksedge.example</w:t>
                  </w:r>
                </w:p>
              </w:tc>
              <w:tc>
                <w:tcPr>
                  <w:tcW w:w="3288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color w:val="6B6159"/>
                      <w:sz w:val="18"/>
                      <w:szCs w:val="18"/>
                    </w:rPr>
                    <w:t xml:space="preserve">Billing address</w:t>
                  </w:r>
                  <w:r>
                    <w:rPr>
                      <w:sz w:val="18"/>
                      <w:szCs w:val="18"/>
                    </w:rPr>
                    <w:t xml:space="preserve"/>
                    <w:br/>
                    <w:t xml:space="preserve"/>
                  </w:r>
                  <w:r>
                    <w:rPr>
                      <w:sz w:val="18"/>
                      <w:szCs w:val="18"/>
                    </w:rPr>
                    <w:t xml:space="preserve">21 Example Terrace</w:t>
                    <w:br/>
                    <w:t xml:space="preserve">Sampleton</w:t>
                    <w:br/>
                    <w:t xml:space="preserve">United Kingdom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p>
      <w:pPr>
        <w:spacing w:before="0" w:after="0" w:line="8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31"/>
        <w:gridCol w:w="3337"/>
        <w:gridCol w:w="3097"/>
      </w:tblGrid>
      <w:tr>
        <w:trPr>
          <w:cantSplit/>
        </w:trPr>
        <w:tc>
          <w:tcPr>
            <w:tcW w:w="3431" w:type="dxa"/>
            <w:tcMar>
              <w:right w:w="240" w:type="dxa"/>
            </w:tcMar>
          </w:tcPr>
          <w:tbl>
            <w:tblPr>
              <w:tblW w:w="319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0" w:type="dxa"/>
                <w:left w:w="280" w:type="dxa"/>
                <w:bottom w:w="280" w:type="dxa"/>
                <w:right w:w="280" w:type="dxa"/>
              </w:tblCellMar>
            </w:tblPr>
            <w:tblGrid>
              <w:gridCol w:w="3191"/>
            </w:tblGrid>
            <w:tr>
              <w:tc>
                <w:tcPr>
                  <w:tcW w:w="3191" w:type="dxa"/>
                  <w:shd w:val="clear" w:color="auto" w:fill="F6F1E8"/>
                </w:tcPr>
                <w:p>
                  <w:pPr>
                    <w:spacing w:after="120"/>
                  </w:pPr>
                  <w:r>
                    <w:rPr>
                      <w:b/>
                      <w:bCs/>
                      <w:color w:val="9C7A43"/>
                      <w:spacing w:val="28"/>
                      <w:sz w:val="15"/>
                      <w:szCs w:val="15"/>
                    </w:rPr>
                    <w:t xml:space="preserve">OPEN PIPELINE</w:t>
                  </w:r>
                </w:p>
                <w:p>
                  <w:pPr>
                    <w:spacing w:after="40"/>
                  </w:pPr>
                  <w:r>
                    <w:rPr>
                      <w:rFonts w:ascii="Source Serif 4 Display" w:hAnsi="Source Serif 4 Display" w:eastAsia="Source Serif 4 Display" w:cs="Source Serif 4 Display"/>
                      <w:b/>
                      <w:bCs/>
                      <w:color w:val="2A2420"/>
                      <w:sz w:val="48"/>
                      <w:szCs w:val="48"/>
                    </w:rPr>
                    <w:t xml:space="preserve">£36,250.00</w:t>
                  </w:r>
                </w:p>
                <w:p>
                  <w:r>
                    <w:rPr>
                      <w:color w:val="6B6159"/>
                      <w:sz w:val="18"/>
                      <w:szCs w:val="18"/>
                    </w:rPr>
                    <w:t xml:space="preserve">3</w:t>
                  </w:r>
                  <w:r>
                    <w:rPr>
                      <w:color w:val="6B6159"/>
                      <w:sz w:val="18"/>
                      <w:szCs w:val="18"/>
                    </w:rPr>
                    <w:t xml:space="preserve"> open opportunities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</w:tc>
        <w:tc>
          <w:tcPr>
            <w:tcW w:w="3337" w:type="dxa"/>
            <w:tcMar>
              <w:right w:w="240" w:type="dxa"/>
            </w:tcMar>
          </w:tcPr>
          <w:tbl>
            <w:tblPr>
              <w:tblW w:w="3097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0" w:type="dxa"/>
                <w:left w:w="280" w:type="dxa"/>
                <w:bottom w:w="280" w:type="dxa"/>
                <w:right w:w="280" w:type="dxa"/>
              </w:tblCellMar>
            </w:tblPr>
            <w:tblGrid>
              <w:gridCol w:w="3097"/>
            </w:tblGrid>
            <w:tr>
              <w:tc>
                <w:tcPr>
                  <w:tcW w:w="3097" w:type="dxa"/>
                  <w:shd w:val="clear" w:color="auto" w:fill="F6F1E8"/>
                </w:tcPr>
                <w:p>
                  <w:pPr>
                    <w:spacing w:after="120"/>
                  </w:pPr>
                  <w:r>
                    <w:rPr>
                      <w:b/>
                      <w:bCs/>
                      <w:color w:val="9C7A43"/>
                      <w:spacing w:val="28"/>
                      <w:sz w:val="15"/>
                      <w:szCs w:val="15"/>
                    </w:rPr>
                    <w:t xml:space="preserve">CLOSED WON</w:t>
                  </w:r>
                </w:p>
                <w:p>
                  <w:pPr>
                    <w:spacing w:after="40"/>
                  </w:pPr>
                  <w:r>
                    <w:rPr>
                      <w:rFonts w:ascii="Source Serif 4 Display" w:hAnsi="Source Serif 4 Display" w:eastAsia="Source Serif 4 Display" w:cs="Source Serif 4 Display"/>
                      <w:b/>
                      <w:bCs/>
                      <w:color w:val="2A2420"/>
                      <w:sz w:val="48"/>
                      <w:szCs w:val="48"/>
                    </w:rPr>
                    <w:t xml:space="preserve">£18,600.00</w:t>
                  </w:r>
                </w:p>
                <w:p>
                  <w:r>
                    <w:rPr>
                      <w:color w:val="6B6159"/>
                      <w:sz w:val="18"/>
                      <w:szCs w:val="18"/>
                    </w:rPr>
                    <w:t xml:space="preserve">2</w:t>
                  </w:r>
                  <w:r>
                    <w:rPr>
                      <w:color w:val="6B6159"/>
                      <w:sz w:val="18"/>
                      <w:szCs w:val="18"/>
                    </w:rPr>
                    <w:t xml:space="preserve"> opportunities won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</w:tc>
        <w:tc>
          <w:tcPr>
            <w:tcW w:w="3097" w:type="dxa"/>
          </w:tcPr>
          <w:tbl>
            <w:tblPr>
              <w:tblW w:w="3097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0" w:type="dxa"/>
                <w:left w:w="280" w:type="dxa"/>
                <w:bottom w:w="280" w:type="dxa"/>
                <w:right w:w="280" w:type="dxa"/>
              </w:tblCellMar>
            </w:tblPr>
            <w:tblGrid>
              <w:gridCol w:w="3097"/>
            </w:tblGrid>
            <w:tr>
              <w:tc>
                <w:tcPr>
                  <w:tcW w:w="3097" w:type="dxa"/>
                  <w:shd w:val="clear" w:color="auto" w:fill="F6F1E8"/>
                </w:tcPr>
                <w:p>
                  <w:pPr>
                    <w:spacing w:after="120"/>
                  </w:pPr>
                  <w:r>
                    <w:rPr>
                      <w:b/>
                      <w:bCs/>
                      <w:color w:val="9C7A43"/>
                      <w:spacing w:val="28"/>
                      <w:sz w:val="15"/>
                      <w:szCs w:val="15"/>
                    </w:rPr>
                    <w:t xml:space="preserve">OPEN CASES</w:t>
                  </w:r>
                </w:p>
                <w:p>
                  <w:pPr>
                    <w:spacing w:after="40"/>
                  </w:pPr>
                  <w:r>
                    <w:rPr>
                      <w:rFonts w:ascii="Source Serif 4 Display" w:hAnsi="Source Serif 4 Display" w:eastAsia="Source Serif 4 Display" w:cs="Source Serif 4 Display"/>
                      <w:b/>
                      <w:bCs/>
                      <w:color w:val="2A2420"/>
                      <w:sz w:val="48"/>
                      <w:szCs w:val="48"/>
                    </w:rPr>
                    <w:t xml:space="preserve">1</w:t>
                  </w:r>
                </w:p>
                <w:p>
                  <w:r>
                    <w:rPr>
                      <w:color w:val="6B6159"/>
                      <w:sz w:val="18"/>
                      <w:szCs w:val="18"/>
                    </w:rPr>
                    <w:t xml:space="preserve">1</w:t>
                  </w:r>
                  <w:r>
                    <w:rPr>
                      <w:color w:val="6B6159"/>
                      <w:sz w:val="18"/>
                      <w:szCs w:val="18"/>
                    </w:rPr>
                    <w:t xml:space="preserve"> case in total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spacing w:before="0" w:after="0" w:line="200" w:lineRule="exact"/>
      </w:pPr>
    </w:p>
    <w:p>
      <w:pPr>
        <w:spacing w:after="120"/>
      </w:pPr>
      <w:r>
        <w:rPr>
          <w:b/>
          <w:bCs/>
          <w:color w:val="9C7A43"/>
          <w:spacing w:val="28"/>
          <w:sz w:val="15"/>
          <w:szCs w:val="15"/>
        </w:rPr>
        <w:t xml:space="preserve">OUR RANGES FOR </w:t>
      </w:r>
      <w:r>
        <w:rPr>
          <w:b/>
          <w:bCs/>
          <w:color w:val="9C7A43"/>
          <w:spacing w:val="28"/>
          <w:sz w:val="15"/>
          <w:szCs w:val="15"/>
        </w:rPr>
        <w:t xml:space="preserve">Larksedge Hospitality Ltd.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37"/>
        <w:gridCol w:w="3337"/>
        <w:gridCol w:w="3191"/>
      </w:tblGrid>
      <w:tr>
        <w:trPr>
          <w:cantSplit/>
        </w:trPr>
        <w:tc>
          <w:tcPr>
            <w:tcW w:w="3337" w:type="dxa"/>
            <w:tcMar>
              <w:right w:w="240" w:type="dxa"/>
            </w:tcMar>
          </w:tcPr>
          <w:p>
            <w:pPr>
              <w:spacing w:before="0" w:after="80"/>
              <w:ind w:left="0"/>
              <w:jc w:val="left"/>
            </w:pPr>
            <w:r>
              <w:drawing>
                <wp:inline distT="0" distB="0" distL="0" distR="0">
                  <wp:extent cx="1981200" cy="1219200"/>
                  <wp:effectExtent l="0" t="0" r="0" b="0"/>
                  <wp:docPr id="2" name="Image 2" descr="Glasswa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 descr="Glassware"/>
                          <pic:cNvPicPr/>
                        </pic:nvPicPr>
                        <pic:blipFill>
                          <a:blip r:embed="rIdMedia4"/>
                          <a:srcRect l="0" r="0" t="769" b="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219200"/>
                          </a:xfrm>
                          <a:prstGeom prst="roundRect">
                            <a:avLst>
                              <a:gd name="adj" fmla="val 6250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b/>
                <w:bCs/>
                <w:color w:val="2A2420"/>
                <w:sz w:val="18"/>
                <w:szCs w:val="18"/>
              </w:rPr>
              <w:t xml:space="preserve">Glassware</w:t>
            </w:r>
          </w:p>
        </w:tc>
        <w:tc>
          <w:tcPr>
            <w:tcW w:w="3337" w:type="dxa"/>
            <w:tcMar>
              <w:right w:w="240" w:type="dxa"/>
            </w:tcMar>
          </w:tcPr>
          <w:p>
            <w:pPr>
              <w:spacing w:before="0" w:after="80"/>
              <w:ind w:left="0"/>
              <w:jc w:val="left"/>
            </w:pPr>
            <w:r>
              <w:drawing>
                <wp:inline distT="0" distB="0" distL="0" distR="0">
                  <wp:extent cx="1981200" cy="1219200"/>
                  <wp:effectExtent l="0" t="0" r="0" b="0"/>
                  <wp:docPr id="3" name="Image 3" descr="Tablewa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 descr="Tableware"/>
                          <pic:cNvPicPr/>
                        </pic:nvPicPr>
                        <pic:blipFill>
                          <a:blip r:embed="rIdMedia5"/>
                          <a:srcRect l="0" r="0" t="769" b="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219200"/>
                          </a:xfrm>
                          <a:prstGeom prst="roundRect">
                            <a:avLst>
                              <a:gd name="adj" fmla="val 6250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b/>
                <w:bCs/>
                <w:color w:val="2A2420"/>
                <w:sz w:val="18"/>
                <w:szCs w:val="18"/>
              </w:rPr>
              <w:t xml:space="preserve">Tableware</w:t>
            </w:r>
          </w:p>
        </w:tc>
        <w:tc>
          <w:tcPr>
            <w:tcW w:w="3191" w:type="dxa"/>
          </w:tcPr>
          <w:p>
            <w:pPr>
              <w:spacing w:before="0" w:after="80"/>
              <w:ind w:left="0"/>
              <w:jc w:val="left"/>
            </w:pPr>
            <w:r>
              <w:drawing>
                <wp:inline distT="0" distB="0" distL="0" distR="0">
                  <wp:extent cx="1981200" cy="1219200"/>
                  <wp:effectExtent l="0" t="0" r="0" b="0"/>
                  <wp:docPr id="4" name="Image 4" descr="Table line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 descr="Table linen"/>
                          <pic:cNvPicPr/>
                        </pic:nvPicPr>
                        <pic:blipFill>
                          <a:blip r:embed="rIdMedia6"/>
                          <a:srcRect l="0" r="0" t="769" b="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219200"/>
                          </a:xfrm>
                          <a:prstGeom prst="roundRect">
                            <a:avLst>
                              <a:gd name="adj" fmla="val 6250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</w:pPr>
            <w:r>
              <w:rPr>
                <w:b/>
                <w:bCs/>
                <w:color w:val="2A2420"/>
                <w:sz w:val="18"/>
                <w:szCs w:val="18"/>
              </w:rPr>
              <w:t xml:space="preserve">Table linen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keepNext/>
        <w:keepLines/>
        <w:spacing w:before="320" w:after="120"/>
      </w:pPr>
      <w:bookmarkStart w:id="2" w:name="_n_5291bf16_9168_4bbc_9002_cb7c5c31b019"/>
      <w:r>
        <w:rPr>
          <w:rFonts w:ascii="Source Serif 4 Display" w:hAnsi="Source Serif 4 Display" w:eastAsia="Source Serif 4 Display" w:cs="Source Serif 4 Display"/>
          <w:b/>
          <w:bCs/>
          <w:color w:val="2A2420"/>
          <w:sz w:val="30"/>
          <w:szCs w:val="30"/>
        </w:rPr>
        <w:t xml:space="preserve">Pipeline</w:t>
      </w:r>
      <w:bookmarkEnd w:id="2"/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2"/>
        <w:gridCol w:w="4042"/>
      </w:tblGrid>
      <w:tr>
        <w:trPr>
          <w:cantSplit/>
        </w:trPr>
        <w:tc>
          <w:tcPr>
            <w:tcW w:w="5822" w:type="dxa"/>
            <w:tcMar>
              <w:right w:w="240" w:type="dxa"/>
            </w:tcMar>
          </w:tcPr>
          <w:p>
            <w:pPr>
              <w:pStyle w:val="Caption"/>
              <w:keepNext/>
              <w:keepLines/>
            </w:pPr>
            <w:r>
              <w:rPr/>
              <w:t xml:space="preserve">Opportunity value by stage (GBP)</w:t>
            </w:r>
          </w:p>
          <w:p>
            <w:pPr>
              <w:keepNext/>
              <w:spacing w:before="0" w:after="80"/>
              <w:ind w:left="0"/>
              <w:jc w:val="left"/>
            </w:pPr>
            <w:r>
              <w:drawing>
                <wp:inline distT="0" distB="0" distL="0" distR="0">
                  <wp:extent cx="3544784" cy="2159000"/>
                  <wp:effectExtent l="0" t="0" r="0" b="0"/>
                  <wp:docPr id="5" name="Chart 5" descr="Bar chart of opportunity value by stage"/>
                  <wp:cNvGraphicFramePr/>
                  <a:graphic>
                    <a:graphicData uri="http://schemas.openxmlformats.org/drawingml/2006/chart">
                      <c:chart r:id="rIdChart1"/>
                    </a:graphicData>
                  </a:graphic>
                </wp:inline>
              </w:drawing>
            </w:r>
          </w:p>
        </w:tc>
        <w:tc>
          <w:tcPr>
            <w:tcW w:w="4042" w:type="dxa"/>
          </w:tcPr>
          <w:p>
            <w:pPr>
              <w:keepNext/>
              <w:keepLines/>
              <w:spacing w:after="80"/>
            </w:pPr>
            <w:r>
              <w:rPr>
                <w:b/>
                <w:bCs/>
                <w:color w:val="6B6159"/>
                <w:spacing w:val="28"/>
                <w:sz w:val="15"/>
                <w:szCs w:val="15"/>
              </w:rPr>
              <w:t xml:space="preserve">SUMMARY</w:t>
            </w:r>
          </w:p>
          <w:p>
            <w:pPr>
              <w:keepLines/>
            </w:pPr>
            <w:r>
              <w:rPr/>
              <w:t xml:space="preserve">5</w:t>
            </w:r>
            <w:r>
              <w:rPr/>
              <w:t xml:space="preserve"> opportunities worth </w:t>
            </w:r>
            <w:r>
              <w:rPr/>
              <w:t xml:space="preserve">£54,850.00</w:t>
            </w:r>
            <w:r>
              <w:rPr/>
              <w:t xml:space="preserve"> in total: </w:t>
            </w:r>
            <w:r>
              <w:rPr/>
              <w:t xml:space="preserve">£36,250.00</w:t>
            </w:r>
            <w:r>
              <w:rPr/>
              <w:t xml:space="preserve"> open and </w:t>
            </w:r>
            <w:r>
              <w:rPr/>
              <w:t xml:space="preserve">£18,600.00</w:t>
            </w:r>
            <w:r>
              <w:rPr/>
              <w:t xml:space="preserve"> won.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single" w:sz="4" w:space="0" w:color="E3DACD"/>
          <w:left w:val="nil"/>
          <w:bottom w:val="single" w:sz="4" w:space="0" w:color="E3DACD"/>
          <w:right w:val="nil"/>
          <w:insideH w:val="single" w:sz="4" w:space="0" w:color="E3DACD"/>
          <w:insideV w:val="nil"/>
        </w:tblBorders>
        <w:tblLayout w:type="fixed"/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946"/>
        <w:gridCol w:w="2368"/>
        <w:gridCol w:w="1677"/>
        <w:gridCol w:w="1874"/>
      </w:tblGrid>
      <w:tr>
        <w:trPr>
          <w:cantSplit/>
          <w:tblHeader/>
        </w:trPr>
        <w:tc>
          <w:tcPr>
            <w:tcW w:w="3946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Opportunity</w:t>
            </w:r>
          </w:p>
        </w:tc>
        <w:tc>
          <w:tcPr>
            <w:tcW w:w="2368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Stage</w:t>
            </w:r>
          </w:p>
        </w:tc>
        <w:tc>
          <w:tcPr>
            <w:tcW w:w="1677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Close date</w:t>
            </w:r>
          </w:p>
        </w:tc>
        <w:tc>
          <w:tcPr>
            <w:tcW w:w="1874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Amount</w:t>
            </w:r>
          </w:p>
        </w:tc>
      </w:tr>
      <w:tr>
        <w:trPr>
          <w:cantSplit/>
        </w:trPr>
        <w:tc>
          <w:tcPr>
            <w:tcW w:w="394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Conference centre glassware, 2027 season</w:t>
            </w:r>
          </w:p>
        </w:tc>
        <w:tc>
          <w:tcPr>
            <w:tcW w:w="2368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Qualification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30 Jan 2027</w:t>
            </w:r>
          </w:p>
        </w:tc>
        <w:tc>
          <w:tcPr>
            <w:tcW w:w="1874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£9,650.00</w:t>
            </w:r>
          </w:p>
        </w:tc>
      </w:tr>
      <w:tr>
        <w:trPr>
          <w:cantSplit/>
        </w:trPr>
        <w:tc>
          <w:tcPr>
            <w:tcW w:w="394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Banqueting tableware 2027</w:t>
            </w:r>
          </w:p>
        </w:tc>
        <w:tc>
          <w:tcPr>
            <w:tcW w:w="2368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Negotiation/Review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30 Nov 2026</w:t>
            </w:r>
          </w:p>
        </w:tc>
        <w:tc>
          <w:tcPr>
            <w:tcW w:w="1874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£8,200.00</w:t>
            </w:r>
          </w:p>
        </w:tc>
      </w:tr>
      <w:tr>
        <w:trPr>
          <w:cantSplit/>
        </w:trPr>
        <w:tc>
          <w:tcPr>
            <w:tcW w:w="394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Spring linen refresh, three hotels</w:t>
            </w:r>
          </w:p>
        </w:tc>
        <w:tc>
          <w:tcPr>
            <w:tcW w:w="2368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Negotiation/Review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14 Nov 2026</w:t>
            </w:r>
          </w:p>
        </w:tc>
        <w:tc>
          <w:tcPr>
            <w:tcW w:w="1874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£18,400.00</w:t>
            </w:r>
          </w:p>
        </w:tc>
      </w:tr>
      <w:tr>
        <w:trPr>
          <w:cantSplit/>
        </w:trPr>
        <w:tc>
          <w:tcPr>
            <w:tcW w:w="394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Harrogate spa amenities</w:t>
            </w:r>
          </w:p>
        </w:tc>
        <w:tc>
          <w:tcPr>
            <w:tcW w:w="2368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Closed Won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12 Sep 2026</w:t>
            </w:r>
          </w:p>
        </w:tc>
        <w:tc>
          <w:tcPr>
            <w:tcW w:w="1874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£6,200.00</w:t>
            </w:r>
          </w:p>
        </w:tc>
      </w:tr>
      <w:tr>
        <w:trPr>
          <w:cantSplit/>
        </w:trPr>
        <w:tc>
          <w:tcPr>
            <w:tcW w:w="394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Restaurant refit crockery</w:t>
            </w:r>
          </w:p>
        </w:tc>
        <w:tc>
          <w:tcPr>
            <w:tcW w:w="2368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Closed Won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31 Jul 2026</w:t>
            </w:r>
          </w:p>
        </w:tc>
        <w:tc>
          <w:tcPr>
            <w:tcW w:w="1874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£12,400.00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34"/>
        <w:gridCol w:w="4331"/>
      </w:tblGrid>
      <w:tr>
        <w:trPr>
          <w:cantSplit/>
        </w:trPr>
        <w:tc>
          <w:tcPr>
            <w:tcW w:w="5534" w:type="dxa"/>
            <w:tcMar>
              <w:right w:w="240" w:type="dxa"/>
            </w:tcMar>
          </w:tcPr>
          <w:p/>
        </w:tc>
        <w:tc>
          <w:tcPr>
            <w:tcW w:w="4331" w:type="dxa"/>
          </w:tcPr>
          <w:tbl>
            <w:tblPr>
              <w:tblW w:w="4331" w:type="dxa"/>
              <w:tblBorders>
                <w:top w:val="single" w:sz="4" w:space="0" w:color="E3DACD"/>
                <w:left w:val="nil"/>
                <w:bottom w:val="single" w:sz="4" w:space="0" w:color="E3DACD"/>
                <w:right w:val="nil"/>
                <w:insideH w:val="single" w:sz="4" w:space="0" w:color="E3DACD"/>
                <w:insideV w:val="nil"/>
              </w:tblBorders>
              <w:tblLayout w:type="fixed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2166"/>
              <w:gridCol w:w="2166"/>
            </w:tblGrid>
            <w:tr>
              <w:trPr>
                <w:cantSplit/>
              </w:trPr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sz w:val="18"/>
                      <w:szCs w:val="18"/>
                    </w:rPr>
                    <w:t xml:space="preserve">Total</w:t>
                  </w:r>
                </w:p>
              </w:tc>
              <w:tc>
                <w:tcPr>
                  <w:tcW w:w="216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£54,850.00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keepNext/>
        <w:keepLines/>
        <w:spacing w:before="320" w:after="120"/>
      </w:pPr>
      <w:bookmarkStart w:id="3" w:name="_n_00a27caa_cd9d_4b98_8e5c_2bab63339ca4"/>
      <w:r>
        <w:rPr>
          <w:rFonts w:ascii="Source Serif 4 Display" w:hAnsi="Source Serif 4 Display" w:eastAsia="Source Serif 4 Display" w:cs="Source Serif 4 Display"/>
          <w:b/>
          <w:bCs/>
          <w:color w:val="2A2420"/>
          <w:sz w:val="30"/>
          <w:szCs w:val="30"/>
        </w:rPr>
        <w:t xml:space="preserve">Orders</w:t>
      </w:r>
      <w:bookmarkEnd w:id="3"/>
    </w:p>
    <w:p>
      <w:pPr>
        <w:keepNext/>
        <w:keepLines/>
      </w:pPr>
      <w:r>
        <w:rPr/>
        <w:t xml:space="preserve">2</w:t>
      </w:r>
      <w:r>
        <w:rPr/>
        <w:t xml:space="preserve"> orders: </w:t>
      </w:r>
      <w:r>
        <w:rPr/>
        <w:t xml:space="preserve">£840.00</w:t>
      </w:r>
      <w:r>
        <w:rPr/>
        <w:t xml:space="preserve"> invoiced, </w:t>
      </w:r>
      <w:r>
        <w:rPr/>
        <w:t xml:space="preserve">£186.00</w:t>
      </w:r>
      <w:r>
        <w:rPr/>
        <w:t xml:space="preserve"> credited, </w:t>
      </w:r>
      <w:r>
        <w:rPr/>
        <w:t xml:space="preserve">£654.00</w:t>
      </w:r>
      <w:r>
        <w:rPr/>
        <w:t xml:space="preserve"> net.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2"/>
        <w:gridCol w:w="4042"/>
      </w:tblGrid>
      <w:tr>
        <w:trPr>
          <w:cantSplit/>
        </w:trPr>
        <w:tc>
          <w:tcPr>
            <w:tcW w:w="5822" w:type="dxa"/>
            <w:tcMar>
              <w:right w:w="240" w:type="dxa"/>
            </w:tcMar>
          </w:tcPr>
          <w:p>
            <w:pPr>
              <w:pStyle w:val="Caption"/>
              <w:keepNext/>
              <w:keepLines/>
            </w:pPr>
            <w:r>
              <w:rPr/>
              <w:t xml:space="preserve">Order value by document (GBP)</w:t>
            </w:r>
          </w:p>
          <w:p>
            <w:pPr>
              <w:keepNext/>
              <w:spacing w:before="0" w:after="80"/>
              <w:ind w:left="0"/>
              <w:jc w:val="left"/>
            </w:pPr>
            <w:r>
              <w:drawing>
                <wp:inline distT="0" distB="0" distL="0" distR="0">
                  <wp:extent cx="3544784" cy="2159000"/>
                  <wp:effectExtent l="0" t="0" r="0" b="0"/>
                  <wp:docPr id="6" name="Chart 6" descr="Bar chart of order value by document"/>
                  <wp:cNvGraphicFramePr/>
                  <a:graphic>
                    <a:graphicData uri="http://schemas.openxmlformats.org/drawingml/2006/chart">
                      <c:chart r:id="rIdChart2"/>
                    </a:graphicData>
                  </a:graphic>
                </wp:inline>
              </w:drawing>
            </w:r>
          </w:p>
        </w:tc>
        <w:tc>
          <w:tcPr>
            <w:tcW w:w="4042" w:type="dxa"/>
          </w:tcPr>
          <w:p>
            <w:pPr>
              <w:keepNext/>
              <w:keepLines/>
              <w:spacing w:after="80"/>
            </w:pPr>
            <w:r>
              <w:rPr>
                <w:b/>
                <w:bCs/>
                <w:color w:val="6B6159"/>
                <w:spacing w:val="28"/>
                <w:sz w:val="15"/>
                <w:szCs w:val="15"/>
              </w:rPr>
              <w:t xml:space="preserve">SUMMARY</w:t>
            </w:r>
          </w:p>
          <w:p>
            <w:pPr>
              <w:keepLines/>
            </w:pPr>
            <w:r>
              <w:rPr/>
              <w:t xml:space="preserve">Net orders are invoiced value less credits: </w:t>
            </w:r>
            <w:r>
              <w:rPr/>
              <w:t xml:space="preserve">£840.00</w:t>
            </w:r>
            <w:r>
              <w:rPr/>
              <w:t xml:space="preserve"> − </w:t>
            </w:r>
            <w:r>
              <w:rPr/>
              <w:t xml:space="preserve">£186.00</w:t>
            </w:r>
            <w:r>
              <w:rPr/>
              <w:t xml:space="preserve"> = </w:t>
            </w:r>
            <w:r>
              <w:rPr/>
              <w:t xml:space="preserve">£654.00</w:t>
            </w:r>
            <w:r>
              <w:rPr/>
              <w:t xml:space="preserve">.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single" w:sz="4" w:space="0" w:color="E3DACD"/>
          <w:left w:val="nil"/>
          <w:bottom w:val="single" w:sz="4" w:space="0" w:color="E3DACD"/>
          <w:right w:val="nil"/>
          <w:insideH w:val="single" w:sz="4" w:space="0" w:color="E3DACD"/>
          <w:insideV w:val="nil"/>
        </w:tblBorders>
        <w:tblLayout w:type="fixed"/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565"/>
        <w:gridCol w:w="1480"/>
        <w:gridCol w:w="1282"/>
        <w:gridCol w:w="2762"/>
        <w:gridCol w:w="1776"/>
      </w:tblGrid>
      <w:tr>
        <w:trPr>
          <w:cantSplit/>
          <w:tblHeader/>
        </w:trPr>
        <w:tc>
          <w:tcPr>
            <w:tcW w:w="2565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Order</w:t>
            </w:r>
          </w:p>
        </w:tc>
        <w:tc>
          <w:tcPr>
            <w:tcW w:w="1480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Date</w:t>
            </w:r>
          </w:p>
        </w:tc>
        <w:tc>
          <w:tcPr>
            <w:tcW w:w="1282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Type</w:t>
            </w:r>
          </w:p>
        </w:tc>
        <w:tc>
          <w:tcPr>
            <w:tcW w:w="2762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Reference</w:t>
            </w:r>
          </w:p>
        </w:tc>
        <w:tc>
          <w:tcPr>
            <w:tcW w:w="1776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Amount</w:t>
            </w:r>
          </w:p>
        </w:tc>
      </w:tr>
      <w:tr>
        <w:trPr>
          <w:cantSplit/>
        </w:trPr>
        <w:tc>
          <w:tcPr>
            <w:tcW w:w="2565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BT-CN-0062</w:t>
            </w:r>
          </w:p>
        </w:tc>
        <w:tc>
          <w:tcPr>
            <w:tcW w:w="1480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24 Sep 2026</w:t>
            </w:r>
          </w:p>
        </w:tc>
        <w:tc>
          <w:tcPr>
            <w:tcW w:w="1282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Credit</w:t>
            </w:r>
          </w:p>
        </w:tc>
        <w:tc>
          <w:tcPr>
            <w:tcW w:w="2762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Credits </w:t>
            </w:r>
            <w:r>
              <w:rPr>
                <w:sz w:val="19"/>
                <w:szCs w:val="19"/>
              </w:rPr>
              <w:t xml:space="preserve">BT-INV-0518</w:t>
            </w:r>
          </w:p>
        </w:tc>
        <w:tc>
          <w:tcPr>
            <w:tcW w:w="1776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£186.00</w:t>
            </w:r>
          </w:p>
        </w:tc>
      </w:tr>
      <w:tr>
        <w:trPr>
          <w:cantSplit/>
        </w:trPr>
        <w:tc>
          <w:tcPr>
            <w:tcW w:w="2565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BT-INV-0518</w:t>
            </w:r>
          </w:p>
        </w:tc>
        <w:tc>
          <w:tcPr>
            <w:tcW w:w="1480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27 Aug 2026</w:t>
            </w:r>
          </w:p>
        </w:tc>
        <w:tc>
          <w:tcPr>
            <w:tcW w:w="1282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Invoice</w:t>
            </w:r>
          </w:p>
        </w:tc>
        <w:tc>
          <w:tcPr>
            <w:tcW w:w="2762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/>
            </w:r>
            <w:r>
              <w:rPr>
                <w:sz w:val="19"/>
                <w:szCs w:val="19"/>
              </w:rPr>
              <w:t xml:space="preserve">—</w:t>
            </w:r>
          </w:p>
        </w:tc>
        <w:tc>
          <w:tcPr>
            <w:tcW w:w="1776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£840.00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34"/>
        <w:gridCol w:w="4331"/>
      </w:tblGrid>
      <w:tr>
        <w:trPr>
          <w:cantSplit/>
        </w:trPr>
        <w:tc>
          <w:tcPr>
            <w:tcW w:w="5534" w:type="dxa"/>
            <w:tcMar>
              <w:right w:w="240" w:type="dxa"/>
            </w:tcMar>
          </w:tcPr>
          <w:p/>
        </w:tc>
        <w:tc>
          <w:tcPr>
            <w:tcW w:w="4331" w:type="dxa"/>
          </w:tcPr>
          <w:tbl>
            <w:tblPr>
              <w:tblW w:w="4331" w:type="dxa"/>
              <w:tblBorders>
                <w:top w:val="single" w:sz="4" w:space="0" w:color="E3DACD"/>
                <w:left w:val="nil"/>
                <w:bottom w:val="single" w:sz="4" w:space="0" w:color="E3DACD"/>
                <w:right w:val="nil"/>
                <w:insideH w:val="single" w:sz="4" w:space="0" w:color="E3DACD"/>
                <w:insideV w:val="nil"/>
              </w:tblBorders>
              <w:tblLayout w:type="fixed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2166"/>
              <w:gridCol w:w="2166"/>
            </w:tblGrid>
            <w:tr>
              <w:trPr>
                <w:cantSplit/>
              </w:trPr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sz w:val="18"/>
                      <w:szCs w:val="18"/>
                    </w:rPr>
                    <w:t xml:space="preserve">Invoiced</w:t>
                  </w:r>
                </w:p>
              </w:tc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£840.00</w:t>
                  </w:r>
                </w:p>
              </w:tc>
            </w:tr>
            <w:tr>
              <w:trPr>
                <w:cantSplit/>
              </w:trPr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sz w:val="18"/>
                      <w:szCs w:val="18"/>
                    </w:rPr>
                    <w:t xml:space="preserve">Less credits</w:t>
                  </w:r>
                </w:p>
              </w:tc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£186.00</w:t>
                  </w:r>
                </w:p>
              </w:tc>
            </w:tr>
            <w:tr>
              <w:trPr>
                <w:cantSplit/>
              </w:trPr>
              <w:tc>
                <w:tcPr>
                  <w:tcW w:w="2166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sz w:val="18"/>
                      <w:szCs w:val="18"/>
                    </w:rPr>
                    <w:t xml:space="preserve">Net orders</w:t>
                  </w:r>
                </w:p>
              </w:tc>
              <w:tc>
                <w:tcPr>
                  <w:tcW w:w="2166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£654.00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spacing w:before="320" w:after="120"/>
      </w:pPr>
      <w:bookmarkStart w:id="4" w:name="_f0a7e33a_7156_458b_8cec_686a64d8cbac"/>
      <w:r>
        <w:rPr>
          <w:rFonts w:ascii="Source Serif 4 Display" w:hAnsi="Source Serif 4 Display" w:eastAsia="Source Serif 4 Display" w:cs="Source Serif 4 Display"/>
          <w:b/>
          <w:bCs/>
          <w:color w:val="2A2420"/>
          <w:sz w:val="30"/>
          <w:szCs w:val="30"/>
        </w:rPr>
        <w:t xml:space="preserve">Cases</w:t>
      </w:r>
      <w:bookmarkEnd w:id="4"/>
    </w:p>
    <w:p>
      <w:r>
        <w:rPr/>
        <w:t xml:space="preserve">1</w:t>
      </w:r>
      <w:r>
        <w:rPr/>
        <w:t xml:space="preserve"> case: </w:t>
      </w:r>
      <w:r>
        <w:rPr/>
        <w:t xml:space="preserve">1</w:t>
      </w:r>
      <w:r>
        <w:rPr/>
        <w:t xml:space="preserve"> open, </w:t>
      </w:r>
      <w:r>
        <w:rPr/>
        <w:t xml:space="preserve">0</w:t>
      </w:r>
      <w:r>
        <w:rPr/>
        <w:t xml:space="preserve"> closed.</w:t>
      </w:r>
    </w:p>
    <w:tbl>
      <w:tblPr>
        <w:tblW w:w="9865" w:type="dxa"/>
        <w:tblBorders>
          <w:top w:val="single" w:sz="4" w:space="0" w:color="E3DACD"/>
          <w:left w:val="nil"/>
          <w:bottom w:val="single" w:sz="4" w:space="0" w:color="E3DACD"/>
          <w:right w:val="nil"/>
          <w:insideH w:val="single" w:sz="4" w:space="0" w:color="E3DACD"/>
          <w:insideV w:val="nil"/>
        </w:tblBorders>
        <w:tblLayout w:type="fixed"/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1282"/>
        <w:gridCol w:w="4242"/>
        <w:gridCol w:w="1578"/>
        <w:gridCol w:w="1184"/>
        <w:gridCol w:w="1578"/>
      </w:tblGrid>
      <w:tr>
        <w:trPr>
          <w:cantSplit/>
          <w:tblHeader/>
        </w:trPr>
        <w:tc>
          <w:tcPr>
            <w:tcW w:w="1282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Case</w:t>
            </w:r>
          </w:p>
        </w:tc>
        <w:tc>
          <w:tcPr>
            <w:tcW w:w="4242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Subject</w:t>
            </w:r>
          </w:p>
        </w:tc>
        <w:tc>
          <w:tcPr>
            <w:tcW w:w="1578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Status</w:t>
            </w:r>
          </w:p>
        </w:tc>
        <w:tc>
          <w:tcPr>
            <w:tcW w:w="1184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Priority</w:t>
            </w:r>
          </w:p>
        </w:tc>
        <w:tc>
          <w:tcPr>
            <w:tcW w:w="1578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Opened</w:t>
            </w:r>
          </w:p>
        </w:tc>
      </w:tr>
      <w:tr>
        <w:trPr>
          <w:cantSplit/>
        </w:trPr>
        <w:tc>
          <w:tcPr>
            <w:tcW w:w="1282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00001031</w:t>
            </w:r>
          </w:p>
        </w:tc>
        <w:tc>
          <w:tcPr>
            <w:tcW w:w="4242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Short delivery: banqueting napkins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New</w:t>
            </w:r>
          </w:p>
        </w:tc>
        <w:tc>
          <w:tcPr>
            <w:tcW w:w="1184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Medium</w:t>
            </w:r>
          </w:p>
        </w:tc>
        <w:tc>
          <w:tcPr>
            <w:tcW w:w="1578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4 Oct 2026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pStyle w:val="Heading2"/>
        <w:spacing w:before="320" w:after="120"/>
      </w:pPr>
      <w:bookmarkStart w:id="5" w:name="_aa60d829_c313_45ba_9339_599c266517e3"/>
      <w:r>
        <w:rPr>
          <w:rFonts w:ascii="Source Serif 4 Display" w:hAnsi="Source Serif 4 Display" w:eastAsia="Source Serif 4 Display" w:cs="Source Serif 4 Display"/>
          <w:b/>
          <w:bCs/>
          <w:color w:val="2A2420"/>
          <w:sz w:val="30"/>
          <w:szCs w:val="30"/>
        </w:rPr>
        <w:t xml:space="preserve">Key contacts</w:t>
      </w:r>
      <w:bookmarkEnd w:id="5"/>
    </w:p>
    <w:tbl>
      <w:tblPr>
        <w:tblW w:w="9865" w:type="dxa"/>
        <w:tblBorders>
          <w:top w:val="single" w:sz="4" w:space="0" w:color="E3DACD"/>
          <w:left w:val="nil"/>
          <w:bottom w:val="single" w:sz="4" w:space="0" w:color="E3DACD"/>
          <w:right w:val="nil"/>
          <w:insideH w:val="single" w:sz="4" w:space="0" w:color="E3DACD"/>
          <w:insideV w:val="nil"/>
        </w:tblBorders>
        <w:tblLayout w:type="fixed"/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368"/>
        <w:gridCol w:w="1973"/>
        <w:gridCol w:w="3749"/>
        <w:gridCol w:w="1776"/>
      </w:tblGrid>
      <w:tr>
        <w:trPr>
          <w:cantSplit/>
          <w:tblHeader/>
        </w:trPr>
        <w:tc>
          <w:tcPr>
            <w:tcW w:w="2368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Name</w:t>
            </w:r>
          </w:p>
        </w:tc>
        <w:tc>
          <w:tcPr>
            <w:tcW w:w="1973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Role</w:t>
            </w:r>
          </w:p>
        </w:tc>
        <w:tc>
          <w:tcPr>
            <w:tcW w:w="3749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Email</w:t>
            </w:r>
          </w:p>
        </w:tc>
        <w:tc>
          <w:tcPr>
            <w:tcW w:w="1776" w:type="dxa"/>
            <w:shd w:val="clear" w:color="auto" w:fill="F6F1E8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6B6159"/>
                <w:sz w:val="19"/>
                <w:szCs w:val="19"/>
              </w:rPr>
              <w:t xml:space="preserve">Phone</w:t>
            </w:r>
          </w:p>
        </w:tc>
      </w:tr>
      <w:tr>
        <w:trPr>
          <w:cantSplit/>
        </w:trPr>
        <w:tc>
          <w:tcPr>
            <w:tcW w:w="2368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Maria Lowe</w:t>
            </w:r>
          </w:p>
        </w:tc>
        <w:tc>
          <w:tcPr>
            <w:tcW w:w="1973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Finance Manager</w:t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m.lowe@larksedge.example</w:t>
            </w:r>
          </w:p>
        </w:tc>
        <w:tc>
          <w:tcPr>
            <w:tcW w:w="177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sz w:val="19"/>
                <w:szCs w:val="19"/>
              </w:rPr>
              <w:t xml:space="preserve">01632 960152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r>
        <w:rPr>
          <w:color w:val="6B6159"/>
          <w:sz w:val="18"/>
          <w:szCs w:val="18"/>
        </w:rPr>
        <w:t xml:space="preserve">Figures come from Salesforce on the date prepared. Amounts are shown as recorded, excluding tax.</w:t>
      </w:r>
    </w:p>
    <w:sectPr>
      <w:headerReference w:type="default" r:id="rIdHeader1"/>
      <w:headerReference w:type="first" r:id="rIdHeader2"/>
      <w:footerReference w:type="default" r:id="rIdFooter1"/>
      <w:footerReference w:type="first" r:id="rIdFooter2"/>
      <w:pgSz w:w="11906" w:h="16838"/>
      <w:pgMar w:top="1209" w:right="1020" w:bottom="1158" w:left="1020" w:header="240" w:footer="240" w:gutter="0"/>
      <w:pgNumType w:start="1"/>
      <w:titlePg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Source Serif 4 Display">
    <w:altName w:val="Georgia"/>
    <w:family w:val="auto"/>
    <w:pitch w:val="variable"/>
    <w:embedRegular r:id="rIdFont1" w:fontKey="{11DAE025-C279-7FA2-E25B-77A057F9DF81}"/>
    <w:embedBold r:id="rIdFont2" w:fontKey="{431349DD-452C-970C-13D3-C95FB415359C}"/>
  </w:font>
  <w:font w:name="Inter">
    <w:altName w:val="Arial"/>
    <w:family w:val="auto"/>
    <w:pitch w:val="variable"/>
    <w:embedRegular r:id="rIdFont3" w:fontKey="{786F3D61-F96C-0B22-F766-74F4A707B982}"/>
    <w:embedBold r:id="rIdFont4" w:fontKey="{C18DB64F-206F-510B-89E3-FA0ED5F3AA2E}"/>
    <w:embedItalic r:id="rIdFont5" w:fontKey="{66482BBF-97A9-2F64-BC8A-25F3A9AEABCC}"/>
    <w:embedBoldItalic r:id="rIdFont6" w:fontKey="{4B6C59A1-C277-40F4-3AC2-87907C308823}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Brindlewick Trade Supply Ltd. Registered in England and Wales, no. EX000612. Registered office: 12 Example Trading Estate,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Brindlewick Trade Supply Ltd. Registered in England and Wales, no. EX000612. Registered office: 12 Example Trading Estate,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360" w:lineRule="exact"/>
      <w:ind w:left="0"/>
      <w:jc w:val="left"/>
    </w:pPr>
    <w:r>
      <w:drawing>
        <wp:inline distT="0" distB="0" distL="0" distR="0">
          <wp:extent cx="203200" cy="203200"/>
          <wp:effectExtent l="0" t="0" r="0" b="0"/>
          <wp:docPr id="7" name="Image 7" descr="Brindlewick 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" name="Image 7" descr="Brindlewick mark"/>
                  <pic:cNvPicPr/>
                </pic:nvPicPr>
                <pic:blipFill>
                  <a:blip r:embed="rIdMedia2"/>
                  <a:stretch>
                    <a:fillRect/>
                  </a:stretch>
                </pic:blipFill>
                <pic:spPr>
                  <a:xfrm>
                    <a:off x="0" y="0"/>
                    <a:ext cx="203200" cy="20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color w:val="6B6159"/>
      </w:rPr>
      <w:t xml:space="preserve">Brindlewick Trade Supply Ltd</w:t>
    </w:r>
  </w:p>
  <w:p>
    <w:pPr>
      <w:pStyle w:val="PageFurniture"/>
      <w:pBdr>
        <w:bottom w:val="single" w:sz="4" w:space="1" w:color="E3DACD"/>
      </w:pBdr>
      <w:spacing w:before="0" w:after="0" w:line="85" w:lineRule="exact"/>
      <w:ind w:left="0"/>
    </w:pPr>
  </w:p>
  <w:p>
    <w:pPr>
      <w:pStyle w:val="PageFurniture"/>
      <w:spacing w:before="0" w:after="0" w:line="85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560" w:lineRule="exact"/>
      <w:ind w:left="0"/>
      <w:jc w:val="left"/>
    </w:pPr>
    <w:r>
      <w:drawing>
        <wp:inline distT="0" distB="0" distL="0" distR="0">
          <wp:extent cx="1992207" cy="330200"/>
          <wp:effectExtent l="0" t="0" r="0" b="0"/>
          <wp:docPr id="8" name="Image 8" descr="Brindlewick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 8" descr="Brindlewick logo"/>
                  <pic:cNvPicPr/>
                </pic:nvPicPr>
                <pic:blipFill>
                  <a:blip r:embed="rIdMedia1"/>
                  <a:stretch>
                    <a:fillRect/>
                  </a:stretch>
                </pic:blipFill>
                <pic:spPr>
                  <a:xfrm>
                    <a:off x="0" y="0"/>
                    <a:ext cx="1992207" cy="33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b/>
        <w:bCs/>
      </w:rPr>
      <w:t xml:space="preserve">Brindlewick Trade Supply Ltd</w:t>
    </w:r>
  </w:p>
  <w:p>
    <w:pPr>
      <w:pStyle w:val="PageFurniture"/>
      <w:jc w:val="right"/>
    </w:pPr>
    <w:r>
      <w:rPr>
        <w:color w:val="6B6159"/>
      </w:rPr>
      <w:t xml:space="preserve">12 Example Trading Estate, Sampleton</w:t>
    </w:r>
  </w:p>
  <w:p>
    <w:pPr>
      <w:pStyle w:val="PageFurniture"/>
      <w:jc w:val="right"/>
    </w:pPr>
    <w:r>
      <w:rPr>
        <w:color w:val="6B6159"/>
      </w:rPr>
      <w:t xml:space="preserve">+44 20 7946 0612 · https://brindlewick.example</w:t>
    </w:r>
  </w:p>
  <w:p>
    <w:pPr>
      <w:pStyle w:val="PageFurniture"/>
      <w:pBdr>
        <w:bottom w:val="single" w:sz="12" w:space="1" w:color="5A4636"/>
      </w:pBdr>
      <w:spacing w:before="0" w:after="0" w:line="95" w:lineRule="exact"/>
      <w:ind w:left="0"/>
    </w:pPr>
  </w:p>
  <w:p>
    <w:pPr>
      <w:pStyle w:val="PageFurniture"/>
      <w:spacing w:before="0" w:after="0" w:line="95" w:lineRule="exact"/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embedTrueTypeFonts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2E2925"/>
        <w:sz w:val="19"/>
        <w:szCs w:val="19"/>
        <w:lang w:val="en-GB"/>
      </w:rPr>
    </w:rPrDefault>
    <w:pPrDefault>
      <w:pPr>
        <w:widowControl/>
        <w:spacing w:after="120" w:line="276" w:lineRule="auto"/>
      </w:pPr>
    </w:pPrDefault>
  </w:docDefaults>
  <w:style w:type="paragraph" w:default="1" w:styleId="Normal">
    <w:name w:val="Normal"/>
    <w:qFormat/>
    <w:pPr>
      <w:spacing w:before="0" w:after="120" w:line="276" w:lineRule="auto"/>
    </w:pPr>
    <w:rPr>
      <w:color w:val="2E2925"/>
      <w:sz w:val="19"/>
      <w:szCs w:val="19"/>
    </w:rPr>
  </w:style>
  <w:style w:type="paragraph" w:styleId="Title">
    <w:name w:val="Title"/>
    <w:basedOn w:val="Normal"/>
    <w:next w:val="Normal"/>
    <w:qFormat/>
    <w:pPr>
      <w:keepNext/>
      <w:keepLines/>
      <w:spacing w:before="0" w:after="120" w:line="276" w:lineRule="auto"/>
      <w:ind w:left="0"/>
      <w:jc w:val="left"/>
    </w:pPr>
    <w:rPr>
      <w:rFonts w:ascii="Source Serif 4 Display" w:hAnsi="Source Serif 4 Display" w:eastAsia="Source Serif 4 Display" w:cs="Source Serif 4 Display"/>
      <w:b/>
      <w:bCs/>
      <w:color w:val="2A2420"/>
      <w:sz w:val="64"/>
      <w:szCs w:val="64"/>
    </w:rPr>
  </w:style>
  <w:style w:type="paragraph" w:styleId="Subtitle">
    <w:name w:val="Subtitle"/>
    <w:basedOn w:val="Normal"/>
    <w:next w:val="Normal"/>
    <w:qFormat/>
    <w:pPr>
      <w:spacing w:before="0" w:after="160" w:line="276" w:lineRule="auto"/>
      <w:ind w:left="0"/>
      <w:jc w:val="left"/>
    </w:pPr>
    <w:rPr>
      <w:color w:val="595959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0"/>
    </w:pPr>
    <w:rPr>
      <w:rFonts w:ascii="Source Serif 4 Display" w:hAnsi="Source Serif 4 Display" w:eastAsia="Source Serif 4 Display" w:cs="Source Serif 4 Display"/>
      <w:b/>
      <w:bCs/>
      <w:color w:val="2A2420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1"/>
    </w:pPr>
    <w:rPr>
      <w:rFonts w:ascii="Source Serif 4 Display" w:hAnsi="Source Serif 4 Display" w:eastAsia="Source Serif 4 Display" w:cs="Source Serif 4 Display"/>
      <w:b/>
      <w:bCs/>
      <w:color w:val="2A2420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2"/>
    </w:pPr>
    <w:rPr>
      <w:rFonts w:ascii="Source Serif 4 Display" w:hAnsi="Source Serif 4 Display" w:eastAsia="Source Serif 4 Display" w:cs="Source Serif 4 Display"/>
      <w:b/>
      <w:bCs/>
      <w:color w:val="2A2420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3"/>
    </w:pPr>
    <w:rPr>
      <w:rFonts w:ascii="Source Serif 4 Display" w:hAnsi="Source Serif 4 Display" w:eastAsia="Source Serif 4 Display" w:cs="Source Serif 4 Display"/>
      <w:b/>
      <w:bCs/>
      <w:color w:val="2A2420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4"/>
    </w:pPr>
    <w:rPr>
      <w:rFonts w:ascii="Source Serif 4 Display" w:hAnsi="Source Serif 4 Display" w:eastAsia="Source Serif 4 Display" w:cs="Source Serif 4 Display"/>
      <w:b/>
      <w:bCs/>
      <w:color w:val="2A2420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5"/>
    </w:pPr>
    <w:rPr>
      <w:rFonts w:ascii="Source Serif 4 Display" w:hAnsi="Source Serif 4 Display" w:eastAsia="Source Serif 4 Display" w:cs="Source Serif 4 Display"/>
      <w:b/>
      <w:bCs/>
      <w:color w:val="2A2420"/>
      <w:sz w:val="20"/>
      <w:szCs w:val="20"/>
    </w:rPr>
  </w:style>
  <w:style w:type="paragraph" w:styleId="Caption">
    <w:name w:val="caption"/>
    <w:basedOn w:val="Normal"/>
    <w:next w:val="Normal"/>
    <w:qFormat/>
    <w:pPr>
      <w:spacing w:before="0" w:after="80" w:line="276" w:lineRule="auto"/>
      <w:ind w:left="0"/>
      <w:jc w:val="left"/>
    </w:pPr>
    <w:rPr>
      <w:i/>
      <w:iCs/>
      <w:color w:val="595959"/>
      <w:sz w:val="18"/>
      <w:szCs w:val="18"/>
    </w:rPr>
  </w:style>
  <w:style w:type="paragraph" w:styleId="Quote">
    <w:name w:val="Quote"/>
    <w:basedOn w:val="Normal"/>
    <w:next w:val="Normal"/>
    <w:qFormat/>
    <w:pPr>
      <w:spacing w:before="120" w:after="120" w:line="276" w:lineRule="auto"/>
      <w:ind w:left="480"/>
      <w:jc w:val="left"/>
    </w:pPr>
    <w:rPr>
      <w:i/>
      <w:iCs/>
      <w:color w:val="404040"/>
      <w:sz w:val="20"/>
      <w:szCs w:val="20"/>
    </w:rPr>
  </w:style>
  <w:style w:type="paragraph" w:styleId="PageFurniture">
    <w:name w:val="Page Furniture"/>
    <w:basedOn w:val="Normal"/>
    <w:next w:val="Normal"/>
    <w:qFormat/>
    <w:pPr>
      <w:spacing w:before="0" w:after="40" w:line="276" w:lineRule="auto"/>
      <w:ind w:left="0"/>
      <w:jc w:val="left"/>
    </w:pPr>
    <w:rPr>
      <w:color w:val="2E2925"/>
      <w:sz w:val="16"/>
      <w:szCs w:val="16"/>
    </w:rPr>
  </w:style>
  <w:style w:type="paragraph" w:styleId="TOCHeading">
    <w:name w:val="TOC Heading"/>
    <w:basedOn w:val="Normal"/>
    <w:next w:val="Normal"/>
    <w:qFormat/>
    <w:pPr>
      <w:keepNext/>
      <w:keepLines/>
      <w:spacing w:before="160" w:after="80" w:line="276" w:lineRule="auto"/>
      <w:ind w:left="0"/>
      <w:jc w:val="left"/>
    </w:pPr>
    <w:rPr>
      <w:b/>
      <w:bCs/>
      <w:color w:val="2E2925"/>
      <w:sz w:val="30"/>
      <w:szCs w:val="30"/>
    </w:rPr>
  </w:style>
  <w:style w:type="paragraph" w:styleId="SmallPrint">
    <w:name w:val="Small Print"/>
    <w:basedOn w:val="Normal"/>
    <w:next w:val="Normal"/>
    <w:qFormat/>
    <w:pPr>
      <w:spacing w:before="0" w:after="80" w:line="276" w:lineRule="auto"/>
      <w:ind w:left="0"/>
      <w:jc w:val="left"/>
    </w:pPr>
    <w:rPr>
      <w:color w:val="6B6159"/>
      <w:sz w:val="16"/>
      <w:szCs w:val="16"/>
    </w:rPr>
  </w:style>
  <w:style w:type="paragraph" w:styleId="TOC1">
    <w:name w:val="toc 1"/>
    <w:basedOn w:val="Normal"/>
    <w:next w:val="Normal"/>
    <w:uiPriority w:val="39"/>
    <w:pPr>
      <w:spacing w:before="0" w:after="40"/>
      <w:ind w:left="0"/>
      <w:jc w:val="left"/>
    </w:pPr>
  </w:style>
  <w:style w:type="paragraph" w:styleId="TOC2">
    <w:name w:val="toc 2"/>
    <w:basedOn w:val="Normal"/>
    <w:next w:val="Normal"/>
    <w:uiPriority w:val="39"/>
    <w:pPr>
      <w:spacing w:before="0" w:after="40"/>
      <w:ind w:left="240"/>
      <w:jc w:val="left"/>
    </w:pPr>
  </w:style>
  <w:style w:type="paragraph" w:styleId="TOC3">
    <w:name w:val="toc 3"/>
    <w:basedOn w:val="Normal"/>
    <w:next w:val="Normal"/>
    <w:uiPriority w:val="39"/>
    <w:pPr>
      <w:spacing w:before="0" w:after="40"/>
      <w:ind w:left="480"/>
      <w:jc w:val="left"/>
    </w:pPr>
  </w:style>
  <w:style w:type="paragraph" w:styleId="TOC4">
    <w:name w:val="toc 4"/>
    <w:basedOn w:val="Normal"/>
    <w:next w:val="Normal"/>
    <w:uiPriority w:val="39"/>
    <w:pPr>
      <w:spacing w:before="0" w:after="40"/>
      <w:ind w:left="720"/>
      <w:jc w:val="left"/>
    </w:pPr>
  </w:style>
  <w:style w:type="paragraph" w:styleId="TOC5">
    <w:name w:val="toc 5"/>
    <w:basedOn w:val="Normal"/>
    <w:next w:val="Normal"/>
    <w:uiPriority w:val="39"/>
    <w:pPr>
      <w:spacing w:before="0" w:after="40"/>
      <w:ind w:left="960"/>
      <w:jc w:val="left"/>
    </w:pPr>
  </w:style>
  <w:style w:type="paragraph" w:styleId="TOC6">
    <w:name w:val="toc 6"/>
    <w:basedOn w:val="Normal"/>
    <w:next w:val="Normal"/>
    <w:uiPriority w:val="39"/>
    <w:pPr>
      <w:spacing w:before="0" w:after="40"/>
      <w:ind w:left="1200"/>
      <w:jc w:val="left"/>
    </w:pPr>
  </w:style>
  <w:style w:type="paragraph" w:styleId="FootnoteText">
    <w:name w:val="footnote text"/>
    <w:basedOn w:val="Caption"/>
    <w:pPr>
      <w:spacing w:before="0" w:after="0" w:line="240" w:lineRule="auto"/>
    </w:pPr>
    <w:rPr>
      <w:i w:val="0"/>
      <w:iCs w:val="0"/>
      <w:sz w:val="16"/>
      <w:szCs w:val="16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pPr>
      <w:spacing w:after="0" w:line="240" w:lineRule="auto"/>
    </w:pPr>
    <w:rPr>
      <w:sz w:val="16"/>
      <w:szCs w:val="16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B5CAD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Header1" Type="http://schemas.openxmlformats.org/officeDocument/2006/relationships/header" Target="header1.xml"/><Relationship Id="rIdFooter1" Type="http://schemas.openxmlformats.org/officeDocument/2006/relationships/footer" Target="footer1.xml"/><Relationship Id="rIdHeader2" Type="http://schemas.openxmlformats.org/officeDocument/2006/relationships/header" Target="header2.xml"/><Relationship Id="rIdFooter2" Type="http://schemas.openxmlformats.org/officeDocument/2006/relationships/footer" Target="footer2.xml"/><Relationship Id="rIdChart1" Type="http://schemas.openxmlformats.org/officeDocument/2006/relationships/chart" Target="charts/chart1.xml"/><Relationship Id="rIdChart2" Type="http://schemas.openxmlformats.org/officeDocument/2006/relationships/chart" Target="charts/chart2.xml"/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Relationship Id="rIdFont6" Type="http://schemas.openxmlformats.org/officeDocument/2006/relationships/font" Target="fonts/font6.odttf"/></Relationships>
</file>

<file path=word/_rels/foot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/Relationships>
</file>

<file path=word/_rels/foot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/Relationships>
</file>

<file path=word/_rels/head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/Relationships>
</file>

<file path=word/_rels/head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roundedCorners val="0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5A4636"/>
            </a:solidFill>
          </c:spPr>
          <c:invertIfNegative val="0"/>
          <c:dLbls>
            <c:numFmt formatCode="&quot;£&quot;#,##0" sourceLinked="0"/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700" b="0"/>
                </a:pPr>
                <a:endParaRPr lang="en-GB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</c:dLbls>
          <c:cat>
            <c:strLit>
              <c:ptCount val="3"/>
              <c:pt idx="0">
                <c:v>Qualification</c:v>
              </c:pt>
              <c:pt idx="1">
                <c:v>Negotiation/Review</c:v>
              </c:pt>
              <c:pt idx="2">
                <c:v>Closed Won</c:v>
              </c:pt>
            </c:strLit>
          </c:cat>
          <c:val>
            <c:numLit>
              <c:formatCode>"£"#,##0</c:formatCode>
              <c:ptCount val="3"/>
              <c:pt idx="0">
                <c:v>9650</c:v>
              </c:pt>
              <c:pt idx="1">
                <c:v>26600</c:v>
              </c:pt>
              <c:pt idx="2">
                <c:v>18600</c:v>
              </c:pt>
            </c:numLit>
          </c:val>
        </c:ser>
        <c:gapWidth val="60"/>
        <c:axId val="5001"/>
        <c:axId val="5002"/>
      </c:barChart>
      <c:catAx>
        <c:axId val="5001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5002"/>
        <c:crosses val="autoZero"/>
        <c:auto val="1"/>
        <c:lblAlgn val="ctr"/>
        <c:lblOffset val="100"/>
        <c:noMultiLvlLbl val="0"/>
      </c:catAx>
      <c:valAx>
        <c:axId val="5002"/>
        <c:scaling>
          <c:orientation val="minMax"/>
          <c:max val="30000"/>
          <c:min val="0"/>
        </c:scaling>
        <c:delete val="0"/>
        <c:axPos val="l"/>
        <c:majorGridlines>
          <c:spPr>
            <a:ln w="6350">
              <a:solidFill>
                <a:srgbClr val="D9DEE5"/>
              </a:solidFill>
            </a:ln>
          </c:spPr>
        </c:majorGridlines>
        <c:numFmt formatCode="&quot;£&quot;#,##0" sourceLinked="0"/>
        <c:majorTickMark val="none"/>
        <c:minorTickMark val="none"/>
        <c:tickLblPos val="nextTo"/>
        <c:crossAx val="5001"/>
        <c:crosses val="autoZero"/>
        <c:crossBetween val="between"/>
        <c:majorUnit val="5000"/>
      </c:valAx>
    </c:plotArea>
    <c:plotVisOnly val="1"/>
    <c:dispBlanksAs val="gap"/>
  </c:chart>
  <c:spPr>
    <a:noFill/>
    <a:ln>
      <a:noFill/>
    </a:ln>
  </c:spPr>
  <c:txPr>
    <a:bodyPr/>
    <a:lstStyle/>
    <a:p>
      <a:pPr>
        <a:defRPr sz="800"/>
      </a:pPr>
      <a:endParaRPr lang="en-GB"/>
    </a:p>
  </c:tx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roundedCorners val="0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5A4636"/>
            </a:solidFill>
          </c:spPr>
          <c:invertIfNegative val="0"/>
          <c:dLbls>
            <c:numFmt formatCode="&quot;£&quot;#,##0" sourceLinked="0"/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700" b="0"/>
                </a:pPr>
                <a:endParaRPr lang="en-GB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</c:dLbls>
          <c:cat>
            <c:strLit>
              <c:ptCount val="2"/>
              <c:pt idx="0">
                <c:v>BT-CN-0062</c:v>
              </c:pt>
              <c:pt idx="1">
                <c:v>BT-INV-0518</c:v>
              </c:pt>
            </c:strLit>
          </c:cat>
          <c:val>
            <c:numLit>
              <c:formatCode>"£"#,##0</c:formatCode>
              <c:ptCount val="2"/>
              <c:pt idx="0">
                <c:v>186</c:v>
              </c:pt>
              <c:pt idx="1">
                <c:v>840</c:v>
              </c:pt>
            </c:numLit>
          </c:val>
        </c:ser>
        <c:gapWidth val="60"/>
        <c:axId val="5001"/>
        <c:axId val="5002"/>
      </c:barChart>
      <c:catAx>
        <c:axId val="5001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5002"/>
        <c:crosses val="autoZero"/>
        <c:auto val="1"/>
        <c:lblAlgn val="ctr"/>
        <c:lblOffset val="100"/>
        <c:noMultiLvlLbl val="0"/>
      </c:catAx>
      <c:valAx>
        <c:axId val="5002"/>
        <c:scaling>
          <c:orientation val="minMax"/>
          <c:max val="1000"/>
          <c:min val="0"/>
        </c:scaling>
        <c:delete val="0"/>
        <c:axPos val="l"/>
        <c:majorGridlines>
          <c:spPr>
            <a:ln w="6350">
              <a:solidFill>
                <a:srgbClr val="D9DEE5"/>
              </a:solidFill>
            </a:ln>
          </c:spPr>
        </c:majorGridlines>
        <c:numFmt formatCode="&quot;£&quot;#,##0" sourceLinked="0"/>
        <c:majorTickMark val="none"/>
        <c:minorTickMark val="none"/>
        <c:tickLblPos val="nextTo"/>
        <c:crossAx val="5001"/>
        <c:crosses val="autoZero"/>
        <c:crossBetween val="between"/>
        <c:majorUnit val="200"/>
      </c:valAx>
    </c:plotArea>
    <c:plotVisOnly val="1"/>
    <c:dispBlanksAs val="gap"/>
  </c:chart>
  <c:spPr>
    <a:noFill/>
    <a:ln>
      <a:noFill/>
    </a:ln>
  </c:spPr>
  <c:txPr>
    <a:bodyPr/>
    <a:lstStyle/>
    <a:p>
      <a:pPr>
        <a:defRPr sz="800"/>
      </a:pPr>
      <a:endParaRPr lang="en-GB"/>
    </a:p>
  </c:txPr>
</c:chartSpac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subject>Brindlewick Trade Supply Ltd</dc:subject>
</cp:coreProperties>
</file>