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Document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7"/>
        <w:gridCol w:w="3657"/>
      </w:tblGrid>
      <w:tr>
        <w:trPr>
          <w:cantSplit/>
        </w:trPr>
        <w:tc>
          <w:tcPr>
            <w:tcW w:w="6207" w:type="dxa"/>
            <w:tcMar>
              <w:right w:w="240" w:type="dxa"/>
            </w:tcMar>
          </w:tcPr>
          <w:p>
            <w:pPr>
              <w:pStyle w:val="Heading1"/>
            </w:pPr>
            <w:bookmarkStart w:id="1" w:name="_a729dc0c_028e_8438_8cfd_f1f3c8512493"/>
            <w:r>
              <w:rPr/>
              <w:t xml:space="preserve">Case summary</w:t>
            </w:r>
            <w:bookmarkEnd w:id="1"/>
          </w:p>
          <w:p>
            <w:pPr>
              <w:pStyle w:val="Subtitle"/>
            </w:pPr>
            <w:r>
              <w:rPr/>
              <w:t xml:space="preserve">Cold-store temperature alarm repeating overnight</w:t>
            </w:r>
          </w:p>
        </w:tc>
        <w:tc>
          <w:tcPr>
            <w:tcW w:w="3657" w:type="dxa"/>
          </w:tcPr>
          <w:tbl>
            <w:tblPr>
              <w:tblW w:w="3657" w:type="dxa"/>
              <w:tblBorders>
                <w:top w:val="single" w:sz="4" w:space="0" w:color="D1D5DB"/>
                <w:left w:val="single" w:sz="4" w:space="0" w:color="D1D5DB"/>
                <w:bottom w:val="single" w:sz="4" w:space="0" w:color="D1D5DB"/>
                <w:right w:val="single" w:sz="4" w:space="0" w:color="D1D5DB"/>
                <w:insideH w:val="single" w:sz="4" w:space="0" w:color="D1D5DB"/>
                <w:insideV w:val="single" w:sz="4" w:space="0" w:color="D1D5DB"/>
              </w:tblBorders>
              <w:tblLayout w:type="fixed"/>
              <w:tblCellMar>
                <w:top w:w="60" w:type="dxa"/>
                <w:left w:w="80" w:type="dxa"/>
                <w:bottom w:w="60" w:type="dxa"/>
                <w:right w:w="80" w:type="dxa"/>
              </w:tblCellMar>
            </w:tblPr>
            <w:tblGrid>
              <w:gridCol w:w="3657"/>
            </w:tblGrid>
            <w:tr>
              <w:trPr>
                <w:cantSplit/>
              </w:trPr>
              <w:tc>
                <w:tcPr>
                  <w:tcW w:w="3657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Case number: </w:t>
                  </w:r>
                  <w:r>
                    <w:rPr>
                      <w:sz w:val="18"/>
                      <w:szCs w:val="18"/>
                    </w:rPr>
                    <w:t xml:space="preserve">00001030</w:t>
                  </w:r>
                </w:p>
              </w:tc>
            </w:tr>
            <w:tr>
              <w:trPr>
                <w:cantSplit/>
              </w:trPr>
              <w:tc>
                <w:tcPr>
                  <w:tcW w:w="3657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Opened: </w:t>
                  </w:r>
                  <w:r>
                    <w:rPr>
                      <w:sz w:val="18"/>
                      <w:szCs w:val="18"/>
                    </w:rPr>
                    <w:t xml:space="preserve">4 October 2026</w:t>
                  </w:r>
                </w:p>
              </w:tc>
            </w:tr>
            <w:tr>
              <w:trPr>
                <w:cantSplit/>
              </w:trPr>
              <w:tc>
                <w:tcPr>
                  <w:tcW w:w="3657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Status: </w:t>
                  </w:r>
                  <w:r>
                    <w:rPr>
                      <w:sz w:val="18"/>
                      <w:szCs w:val="18"/>
                    </w:rPr>
                    <w:t xml:space="preserve">Working</w:t>
                  </w:r>
                </w:p>
              </w:tc>
            </w:tr>
            <w:tr>
              <w:trPr>
                <w:cantSplit/>
              </w:trPr>
              <w:tc>
                <w:tcPr>
                  <w:tcW w:w="3657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Priority: </w:t>
                  </w:r>
                  <w:r>
                    <w:rPr>
                      <w:sz w:val="18"/>
                      <w:szCs w:val="18"/>
                    </w:rPr>
                    <w:t xml:space="preserve">High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single" w:sz="24" w:space="0" w:color="E8731E"/>
          <w:bottom w:val="nil"/>
          <w:right w:val="nil"/>
          <w:insideH w:val="nil"/>
          <w:insideV w:val="nil"/>
        </w:tblBorders>
        <w:tblLayout w:type="fixed"/>
        <w:tblCellMar>
          <w:top w:w="160" w:type="dxa"/>
          <w:left w:w="160" w:type="dxa"/>
          <w:bottom w:w="160" w:type="dxa"/>
          <w:right w:w="160" w:type="dxa"/>
        </w:tblCellMar>
      </w:tblPr>
      <w:tblGrid>
        <w:gridCol w:w="9865"/>
      </w:tblGrid>
      <w:tr>
        <w:tc>
          <w:tcPr>
            <w:tcW w:w="9865" w:type="dxa"/>
            <w:shd w:val="clear" w:color="auto" w:fill="F4F5F6"/>
          </w:tcPr>
          <w:p>
            <w:r>
              <w:rPr>
                <w:b/>
                <w:bCs/>
              </w:rPr>
              <w:t xml:space="preserve">Priority update commitment</w:t>
            </w:r>
            <w:r>
              <w:rPr/>
              <w:t xml:space="preserve"/>
              <w:br/>
              <w:t xml:space="preserve"/>
            </w:r>
            <w:r>
              <w:rPr/>
              <w:t xml:space="preserve">Updates will be provided every working day until this case is resolved.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p>
            <w:pPr>
              <w:pStyle w:val="Heading2"/>
            </w:pPr>
            <w:bookmarkStart w:id="2" w:name="_a6738184_18b3_80e8_81f3_818e5f84dc67"/>
            <w:r>
              <w:rPr/>
              <w:t xml:space="preserve">Customer</w:t>
            </w:r>
            <w:bookmarkEnd w:id="2"/>
          </w:p>
          <w:p>
            <w:r>
              <w:rPr>
                <w:b/>
                <w:bCs/>
              </w:rPr>
              <w:t xml:space="preserve">Account</w:t>
            </w:r>
            <w:r>
              <w:rPr/>
              <w:t xml:space="preserve"/>
              <w:br/>
              <w:t xml:space="preserve"/>
            </w:r>
            <w:r>
              <w:rPr/>
              <w:t xml:space="preserve">Pellmore Foods Ltd</w:t>
            </w:r>
          </w:p>
          <w:p>
            <w:r>
              <w:rPr>
                <w:b/>
                <w:bCs/>
              </w:rPr>
              <w:t xml:space="preserve">Contact</w:t>
            </w:r>
            <w:r>
              <w:rPr/>
              <w:t xml:space="preserve"/>
              <w:br/>
              <w:t xml:space="preserve"/>
            </w:r>
            <w:r>
              <w:rPr/>
              <w:t xml:space="preserve">Tomás Ferreira</w:t>
            </w:r>
            <w:r>
              <w:rPr/>
              <w:t xml:space="preserve"/>
              <w:br/>
              <w:t xml:space="preserve"/>
            </w:r>
            <w:r>
              <w:rPr/>
              <w:t xml:space="preserve">Engineering Manager</w:t>
            </w:r>
            <w:r>
              <w:rPr/>
              <w:t xml:space="preserve"/>
              <w:br/>
              <w:t xml:space="preserve"/>
            </w:r>
            <w:r>
              <w:rPr/>
              <w:t xml:space="preserve">t.ferreira@pellmorefoods.example</w:t>
            </w:r>
            <w:r>
              <w:rPr/>
              <w:t xml:space="preserve"/>
              <w:br/>
              <w:t xml:space="preserve"/>
            </w:r>
            <w:r>
              <w:rPr/>
              <w:t xml:space="preserve">+44 117 555 0388</w:t>
            </w:r>
          </w:p>
        </w:tc>
        <w:tc>
          <w:tcPr>
            <w:tcW w:w="4812" w:type="dxa"/>
          </w:tcPr>
          <w:p>
            <w:pPr>
              <w:pStyle w:val="Heading2"/>
            </w:pPr>
            <w:bookmarkStart w:id="3" w:name="_b65ed1bd_93f5_8108_8fa3_48b57c7a84ca"/>
            <w:r>
              <w:rPr/>
              <w:t xml:space="preserve">Case details</w:t>
            </w:r>
            <w:bookmarkEnd w:id="3"/>
          </w:p>
          <w:tbl>
            <w:tblPr>
              <w:tblW w:w="4812" w:type="dxa"/>
              <w:tblBorders>
                <w:top w:val="single" w:sz="4" w:space="0" w:color="D1D5DB"/>
                <w:left w:val="single" w:sz="4" w:space="0" w:color="D1D5DB"/>
                <w:bottom w:val="single" w:sz="4" w:space="0" w:color="D1D5DB"/>
                <w:right w:val="single" w:sz="4" w:space="0" w:color="D1D5DB"/>
                <w:insideH w:val="single" w:sz="4" w:space="0" w:color="D1D5DB"/>
                <w:insideV w:val="single" w:sz="4" w:space="0" w:color="D1D5DB"/>
              </w:tblBorders>
              <w:tblLayout w:type="fixed"/>
              <w:tblCellMar>
                <w:top w:w="60" w:type="dxa"/>
                <w:left w:w="80" w:type="dxa"/>
                <w:bottom w:w="60" w:type="dxa"/>
                <w:right w:w="80" w:type="dxa"/>
              </w:tblCellMar>
            </w:tblPr>
            <w:tblGrid>
              <w:gridCol w:w="4812"/>
            </w:tblGrid>
            <w:tr>
              <w:trPr>
                <w:cantSplit/>
              </w:trPr>
              <w:tc>
                <w:tcPr>
                  <w:tcW w:w="4812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Type: </w:t>
                  </w:r>
                  <w:r>
                    <w:rPr>
                      <w:sz w:val="18"/>
                      <w:szCs w:val="18"/>
                    </w:rPr>
                    <w:t xml:space="preserve">Problem</w:t>
                  </w:r>
                </w:p>
              </w:tc>
            </w:tr>
            <w:tr>
              <w:trPr>
                <w:cantSplit/>
              </w:trPr>
              <w:tc>
                <w:tcPr>
                  <w:tcW w:w="4812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Reason: </w:t>
                  </w:r>
                  <w:r>
                    <w:rPr>
                      <w:sz w:val="18"/>
                      <w:szCs w:val="18"/>
                    </w:rPr>
                    <w:t xml:space="preserve">Performance</w:t>
                  </w:r>
                </w:p>
              </w:tc>
            </w:tr>
            <w:tr>
              <w:trPr>
                <w:cantSplit/>
              </w:trPr>
              <w:tc>
                <w:tcPr>
                  <w:tcW w:w="4812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Case Origin: </w:t>
                  </w:r>
                  <w:r>
                    <w:rPr>
                      <w:sz w:val="18"/>
                      <w:szCs w:val="18"/>
                    </w:rPr>
                    <w:t xml:space="preserve">Phone</w:t>
                  </w:r>
                </w:p>
              </w:tc>
            </w:tr>
            <w:tr>
              <w:trPr>
                <w:cantSplit/>
              </w:trPr>
              <w:tc>
                <w:tcPr>
                  <w:tcW w:w="4812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Case Owner: </w:t>
                  </w:r>
                  <w:r>
                    <w:rPr>
                      <w:sz w:val="18"/>
                      <w:szCs w:val="18"/>
                    </w:rPr>
                    <w:t xml:space="preserve">Priya Desai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</w:pPr>
      <w:bookmarkStart w:id="4" w:name="_b058da2d_0e32_89e8_82cf_535283372bb2"/>
      <w:r>
        <w:rPr/>
        <w:t xml:space="preserve">Description</w:t>
      </w:r>
      <w:bookmarkEnd w:id="4"/>
    </w:p>
    <w:p>
      <w:r>
        <w:rPr/>
        <w:t xml:space="preserve">The monitoring unit on cold store 2 has raised a high-temperature alarm four times overnight. Store temperature logs stay within limits, so the sensor or its wiring is suspected. Stock has been moved to cold store 1 as a precaution.</w:t>
      </w:r>
    </w:p>
    <w:p>
      <w:pPr>
        <w:pStyle w:val="Heading2"/>
      </w:pPr>
      <w:bookmarkStart w:id="5" w:name="_a30e21e6_4fc4_8c22_8024_e4da69243006"/>
      <w:r>
        <w:rPr/>
        <w:t xml:space="preserve">Current status</w:t>
      </w:r>
      <w:bookmarkEnd w:id="5"/>
    </w:p>
    <w:p>
      <w:r>
        <w:rPr/>
        <w:t xml:space="preserve">Open and being worked on.</w:t>
      </w:r>
    </w:p>
    <w:p>
      <w:pPr>
        <w:pStyle w:val="Heading2"/>
      </w:pPr>
      <w:bookmarkStart w:id="6" w:name="_n_423b4989_bc47_86df_8f1e_94409a1ccf3b"/>
      <w:r>
        <w:rPr/>
        <w:t xml:space="preserve">Updates</w:t>
      </w:r>
      <w:bookmarkEnd w:id="6"/>
    </w:p>
    <w:p>
      <w:pPr>
        <w:pStyle w:val="Heading3"/>
      </w:pPr>
      <w:bookmarkStart w:id="7" w:name="_b960ed41_864e_8c67_83ec_da2efd59b135"/>
      <w:r>
        <w:rPr/>
        <w:t xml:space="preserve">Published comments</w:t>
      </w:r>
      <w:bookmarkEnd w:id="7"/>
    </w:p>
    <w:tbl>
      <w:tblPr>
        <w:tblW w:w="9865" w:type="dxa"/>
        <w:tblBorders>
          <w:top w:val="single" w:sz="8" w:space="0" w:color="B7BDC2"/>
          <w:left w:val="single" w:sz="8" w:space="0" w:color="B7BDC2"/>
          <w:bottom w:val="single" w:sz="8" w:space="0" w:color="B7BDC2"/>
          <w:right w:val="single" w:sz="8" w:space="0" w:color="B7BDC2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9865"/>
      </w:tblGrid>
      <w:tr>
        <w:trPr>
          <w:cantSplit/>
        </w:trPr>
        <w:tc>
          <w:tcPr>
            <w:tcW w:w="9865" w:type="dxa"/>
            <w:shd w:val="clear" w:color="auto" w:fill="F4F5F6"/>
          </w:tcPr>
          <w:p>
            <w:pPr>
              <w:pStyle w:val="Caption"/>
              <w:keepNext/>
              <w:keepLines/>
              <w:spacing w:before="0" w:after="40"/>
            </w:pPr>
            <w:r>
              <w:rPr/>
              <w:t xml:space="preserve">4 October 2026 15:49</w:t>
            </w:r>
            <w:r>
              <w:rPr/>
              <w:t xml:space="preserve"> — </w:t>
            </w:r>
            <w:r>
              <w:rPr/>
              <w:t xml:space="preserve">Priya Desai</w:t>
            </w:r>
          </w:p>
          <w:p>
            <w:pPr>
              <w:keepLines/>
              <w:spacing w:before="0" w:after="0"/>
            </w:pPr>
            <w:r>
              <w:rPr/>
              <w:t xml:space="preserve">Replacement sensor and cable guard fitted this afternoon and calibrated against the reference probe (within 0.3 °C). We will watch the overnight trend before closing the case; stock can move back to cold store 2 tomorrow morning.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865" w:type="dxa"/>
        <w:tblBorders>
          <w:top w:val="single" w:sz="8" w:space="0" w:color="B7BDC2"/>
          <w:left w:val="single" w:sz="8" w:space="0" w:color="B7BDC2"/>
          <w:bottom w:val="single" w:sz="8" w:space="0" w:color="B7BDC2"/>
          <w:right w:val="single" w:sz="8" w:space="0" w:color="B7BDC2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9865"/>
      </w:tblGrid>
      <w:tr>
        <w:trPr>
          <w:cantSplit/>
        </w:trPr>
        <w:tc>
          <w:tcPr>
            <w:tcW w:w="9865" w:type="dxa"/>
            <w:shd w:val="clear" w:color="auto" w:fill="F4F5F6"/>
          </w:tcPr>
          <w:p>
            <w:pPr>
              <w:pStyle w:val="Caption"/>
              <w:keepNext/>
              <w:keepLines/>
              <w:spacing w:before="0" w:after="40"/>
            </w:pPr>
            <w:r>
              <w:rPr/>
              <w:t xml:space="preserve">4 October 2026 15:16</w:t>
            </w:r>
            <w:r>
              <w:rPr/>
              <w:t xml:space="preserve"> — </w:t>
            </w:r>
            <w:r>
              <w:rPr/>
              <w:t xml:space="preserve">Priya Desai</w:t>
            </w:r>
          </w:p>
          <w:p>
            <w:pPr>
              <w:keepLines/>
              <w:spacing w:before="0" w:after="0"/>
            </w:pPr>
            <w:r>
              <w:rPr/>
              <w:t xml:space="preserve">Engineer on site. Sensor T2-3 reads 6 °C warmer than a calibrated probe placed beside it, and its cable has chafed where it passes the evaporator door frame. We have fitted a temporary sensor so the alarm stays live, and ordered a replacement sensor and cable guard.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865" w:type="dxa"/>
        <w:tblBorders>
          <w:top w:val="single" w:sz="8" w:space="0" w:color="B7BDC2"/>
          <w:left w:val="single" w:sz="8" w:space="0" w:color="B7BDC2"/>
          <w:bottom w:val="single" w:sz="8" w:space="0" w:color="B7BDC2"/>
          <w:right w:val="single" w:sz="8" w:space="0" w:color="B7BDC2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9865"/>
      </w:tblGrid>
      <w:tr>
        <w:trPr>
          <w:cantSplit/>
        </w:trPr>
        <w:tc>
          <w:tcPr>
            <w:tcW w:w="9865" w:type="dxa"/>
            <w:shd w:val="clear" w:color="auto" w:fill="F4F5F6"/>
          </w:tcPr>
          <w:p>
            <w:pPr>
              <w:pStyle w:val="Caption"/>
              <w:keepNext/>
              <w:keepLines/>
              <w:spacing w:before="0" w:after="40"/>
            </w:pPr>
            <w:r>
              <w:rPr/>
              <w:t xml:space="preserve">4 October 2026 13:30</w:t>
            </w:r>
            <w:r>
              <w:rPr/>
              <w:t xml:space="preserve"> — </w:t>
            </w:r>
            <w:r>
              <w:rPr/>
              <w:t xml:space="preserve">Priya Desai</w:t>
            </w:r>
          </w:p>
          <w:p>
            <w:pPr>
              <w:keepLines/>
              <w:spacing w:before="0" w:after="0"/>
            </w:pPr>
            <w:r>
              <w:rPr/>
              <w:t xml:space="preserve">Thanks for the call this morning. The four alarms all came from sensor T2-3 between 01:40 and 04:10, while the two other sensors in cold store 2 held at -21 °C. That points to the sensor or its cable rather than the store itself. An engineer will attend today.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p>
      <w:pPr>
        <w:pStyle w:val="Heading2"/>
      </w:pPr>
      <w:bookmarkStart w:id="8" w:name="_n_00182a77_c313_8815_8f61_181dfd262cac"/>
      <w:r>
        <w:rPr/>
        <w:t xml:space="preserve">Contact us</w:t>
      </w:r>
      <w:bookmarkEnd w:id="8"/>
    </w:p>
    <w:p>
      <w:r>
        <w:rPr/>
        <w:t xml:space="preserve">Please contact </w:t>
      </w:r>
      <w:r>
        <w:rPr/>
        <w:t xml:space="preserve">sales@forgeflow.example</w:t>
      </w:r>
      <w:r>
        <w:rPr/>
        <w:t xml:space="preserve"> and quote case </w:t>
      </w:r>
      <w:r>
        <w:rPr/>
        <w:t xml:space="preserve">00001030</w:t>
      </w:r>
      <w:r>
        <w:rPr/>
        <w:t xml:space="preserve">.</w:t>
      </w:r>
    </w:p>
    <w:sectPr>
      <w:headerReference w:type="default" r:id="rIdHeader1"/>
      <w:headerReference w:type="first" r:id="rIdHeader2"/>
      <w:footerReference w:type="default" r:id="rIdFooter1"/>
      <w:footerReference w:type="first" r:id="rIdFooter2"/>
      <w:pgSz w:w="11906" w:h="16838"/>
      <w:pgMar w:top="1209" w:right="1020" w:bottom="1020" w:left="1020" w:header="240" w:footer="240" w:gutter="0"/>
      <w:pgNumType w:start="1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ForgeFlow Manufacturing Ltd</w:t>
    </w:r>
    <w:r>
      <w:rPr/>
      <w:t xml:space="preserve"> · 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ForgeFlow Manufacturing Ltd</w:t>
    </w:r>
    <w:r>
      <w:rPr/>
      <w:t xml:space="preserve"> · 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360" w:lineRule="exact"/>
      <w:ind w:left="0"/>
      <w:jc w:val="left"/>
    </w:pPr>
    <w:r>
      <w:drawing>
        <wp:inline distT="0" distB="0" distL="0" distR="0">
          <wp:extent cx="948267" cy="203200"/>
          <wp:effectExtent l="0" t="0" r="0" b="0"/>
          <wp:docPr id="1" name="Image 1" descr="ForgeFlow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 1" descr="ForgeFlow logo"/>
                  <pic:cNvPicPr/>
                </pic:nvPicPr>
                <pic:blipFill>
                  <a:blip r:embed="rIdMedia1"/>
                  <a:stretch>
                    <a:fillRect/>
                  </a:stretch>
                </pic:blipFill>
                <pic:spPr>
                  <a:xfrm>
                    <a:off x="0" y="0"/>
                    <a:ext cx="948267" cy="20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color w:val="545960"/>
      </w:rPr>
      <w:t xml:space="preserve">ForgeFlow Manufacturing Ltd</w:t>
    </w:r>
  </w:p>
  <w:p>
    <w:pPr>
      <w:pStyle w:val="PageFurniture"/>
      <w:pBdr>
        <w:bottom w:val="single" w:sz="4" w:space="1" w:color="B7BDC2"/>
      </w:pBdr>
      <w:spacing w:before="0" w:after="0" w:line="85" w:lineRule="exact"/>
      <w:ind w:left="0"/>
    </w:pPr>
  </w:p>
  <w:p>
    <w:pPr>
      <w:pStyle w:val="PageFurniture"/>
      <w:spacing w:before="0" w:after="0" w:line="85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640" w:lineRule="exact"/>
      <w:ind w:left="0"/>
      <w:jc w:val="left"/>
    </w:pPr>
    <w:r>
      <w:drawing>
        <wp:inline distT="0" distB="0" distL="0" distR="0">
          <wp:extent cx="1778000" cy="381000"/>
          <wp:effectExtent l="0" t="0" r="0" b="0"/>
          <wp:docPr id="2" name="Image 2" descr="ForgeFlow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 2" descr="ForgeFlow logo"/>
                  <pic:cNvPicPr/>
                </pic:nvPicPr>
                <pic:blipFill>
                  <a:blip r:embed="rIdMedia1"/>
                  <a:stretch>
                    <a:fillRect/>
                  </a:stretch>
                </pic:blipFill>
                <pic:spPr>
                  <a:xfrm>
                    <a:off x="0" y="0"/>
                    <a:ext cx="1778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b/>
        <w:bCs/>
      </w:rPr>
      <w:t xml:space="preserve">ForgeFlow Manufacturing Ltd</w:t>
    </w:r>
  </w:p>
  <w:p>
    <w:pPr>
      <w:pStyle w:val="PageFurniture"/>
      <w:jc w:val="right"/>
    </w:pPr>
    <w:r>
      <w:rPr>
        <w:color w:val="545960"/>
      </w:rPr>
      <w:t xml:space="preserve">42 Example Works, Sampleton</w:t>
    </w:r>
  </w:p>
  <w:p>
    <w:pPr>
      <w:pStyle w:val="PageFurniture"/>
      <w:jc w:val="right"/>
    </w:pPr>
    <w:r>
      <w:rPr>
        <w:color w:val="545960"/>
      </w:rPr>
      <w:t xml:space="preserve">+44 20 7946 0742 · https://forgeflow.example</w:t>
    </w:r>
  </w:p>
  <w:p>
    <w:pPr>
      <w:pStyle w:val="PageFurniture"/>
      <w:pBdr>
        <w:bottom w:val="single" w:sz="12" w:space="1" w:color="3C454E"/>
      </w:pBdr>
      <w:spacing w:before="0" w:after="0" w:line="95" w:lineRule="exact"/>
      <w:ind w:left="0"/>
    </w:pPr>
  </w:p>
  <w:p>
    <w:pPr>
      <w:pStyle w:val="PageFurniture"/>
      <w:spacing w:before="0" w:after="0" w:line="95" w:lineRule="exact"/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2272B"/>
        <w:sz w:val="22"/>
        <w:szCs w:val="22"/>
        <w:lang w:val="en-GB"/>
      </w:rPr>
    </w:rPrDefault>
    <w:pPrDefault>
      <w:pPr>
        <w:widowControl/>
        <w:spacing w:after="120" w:line="276" w:lineRule="auto"/>
      </w:pPr>
    </w:pPrDefault>
  </w:docDefaults>
  <w:style w:type="paragraph" w:default="1" w:styleId="Normal">
    <w:name w:val="Normal"/>
    <w:qFormat/>
    <w:pPr>
      <w:spacing w:before="0" w:after="120" w:line="276" w:lineRule="auto"/>
    </w:pPr>
    <w:rPr>
      <w:color w:val="22272B"/>
      <w:sz w:val="22"/>
      <w:szCs w:val="22"/>
    </w:rPr>
  </w:style>
  <w:style w:type="paragraph" w:styleId="Title">
    <w:name w:val="Title"/>
    <w:basedOn w:val="Normal"/>
    <w:next w:val="Normal"/>
    <w:qFormat/>
    <w:pPr>
      <w:keepNext/>
      <w:keepLines/>
      <w:spacing w:before="0" w:after="120" w:line="276" w:lineRule="auto"/>
      <w:ind w:left="0"/>
      <w:jc w:val="left"/>
    </w:pPr>
    <w:rPr>
      <w:b/>
      <w:bCs/>
      <w:color w:val="22272B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0" w:after="160" w:line="276" w:lineRule="auto"/>
      <w:ind w:left="0"/>
      <w:jc w:val="left"/>
    </w:pPr>
    <w:rPr>
      <w:color w:val="595959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0"/>
    </w:pPr>
    <w:rPr>
      <w:b/>
      <w:bCs/>
      <w:color w:val="22272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1"/>
    </w:pPr>
    <w:rPr>
      <w:b/>
      <w:bCs/>
      <w:color w:val="22272B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2"/>
    </w:pPr>
    <w:rPr>
      <w:b/>
      <w:bCs/>
      <w:color w:val="22272B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3"/>
    </w:pPr>
    <w:rPr>
      <w:b/>
      <w:bCs/>
      <w:color w:val="22272B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4"/>
    </w:pPr>
    <w:rPr>
      <w:b/>
      <w:bCs/>
      <w:color w:val="22272B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5"/>
    </w:pPr>
    <w:rPr>
      <w:b/>
      <w:bCs/>
      <w:color w:val="22272B"/>
      <w:sz w:val="20"/>
      <w:szCs w:val="20"/>
    </w:rPr>
  </w:style>
  <w:style w:type="paragraph" w:styleId="Caption">
    <w:name w:val="caption"/>
    <w:basedOn w:val="Normal"/>
    <w:next w:val="Normal"/>
    <w:qFormat/>
    <w:pPr>
      <w:spacing w:before="0" w:after="80" w:line="276" w:lineRule="auto"/>
      <w:ind w:left="0"/>
      <w:jc w:val="left"/>
    </w:pPr>
    <w:rPr>
      <w:i/>
      <w:iCs/>
      <w:color w:val="595959"/>
      <w:sz w:val="18"/>
      <w:szCs w:val="18"/>
    </w:rPr>
  </w:style>
  <w:style w:type="paragraph" w:styleId="Quote">
    <w:name w:val="Quote"/>
    <w:basedOn w:val="Normal"/>
    <w:next w:val="Normal"/>
    <w:qFormat/>
    <w:pPr>
      <w:spacing w:before="120" w:after="120" w:line="276" w:lineRule="auto"/>
      <w:ind w:left="480"/>
      <w:jc w:val="left"/>
    </w:pPr>
    <w:rPr>
      <w:i/>
      <w:iCs/>
      <w:color w:val="404040"/>
      <w:sz w:val="20"/>
      <w:szCs w:val="20"/>
    </w:rPr>
  </w:style>
  <w:style w:type="paragraph" w:styleId="PageFurniture">
    <w:name w:val="Page Furniture"/>
    <w:basedOn w:val="Normal"/>
    <w:next w:val="Normal"/>
    <w:qFormat/>
    <w:pPr>
      <w:spacing w:before="0" w:after="40" w:line="276" w:lineRule="auto"/>
      <w:ind w:left="0"/>
      <w:jc w:val="left"/>
    </w:pPr>
    <w:rPr>
      <w:color w:val="22272B"/>
      <w:sz w:val="16"/>
      <w:szCs w:val="16"/>
    </w:rPr>
  </w:style>
  <w:style w:type="paragraph" w:styleId="TOCHeading">
    <w:name w:val="TOC Heading"/>
    <w:basedOn w:val="Normal"/>
    <w:next w:val="Normal"/>
    <w:qFormat/>
    <w:pPr>
      <w:keepNext/>
      <w:keepLines/>
      <w:spacing w:before="160" w:after="80" w:line="276" w:lineRule="auto"/>
      <w:ind w:left="0"/>
      <w:jc w:val="left"/>
    </w:pPr>
    <w:rPr>
      <w:b/>
      <w:bCs/>
      <w:color w:val="22272B"/>
      <w:sz w:val="30"/>
      <w:szCs w:val="30"/>
    </w:rPr>
  </w:style>
  <w:style w:type="paragraph" w:styleId="SmallPrint">
    <w:name w:val="Small Print"/>
    <w:basedOn w:val="Normal"/>
    <w:next w:val="Normal"/>
    <w:qFormat/>
    <w:pPr>
      <w:spacing w:before="0" w:after="80" w:line="276" w:lineRule="auto"/>
      <w:ind w:left="0"/>
      <w:jc w:val="left"/>
    </w:pPr>
    <w:rPr>
      <w:color w:val="545960"/>
      <w:sz w:val="18"/>
      <w:szCs w:val="18"/>
    </w:rPr>
  </w:style>
  <w:style w:type="paragraph" w:styleId="TOC1">
    <w:name w:val="toc 1"/>
    <w:basedOn w:val="Normal"/>
    <w:next w:val="Normal"/>
    <w:uiPriority w:val="39"/>
    <w:pPr>
      <w:spacing w:before="0" w:after="40"/>
      <w:ind w:left="0"/>
      <w:jc w:val="left"/>
    </w:pPr>
  </w:style>
  <w:style w:type="paragraph" w:styleId="TOC2">
    <w:name w:val="toc 2"/>
    <w:basedOn w:val="Normal"/>
    <w:next w:val="Normal"/>
    <w:uiPriority w:val="39"/>
    <w:pPr>
      <w:spacing w:before="0" w:after="40"/>
      <w:ind w:left="240"/>
      <w:jc w:val="left"/>
    </w:pPr>
  </w:style>
  <w:style w:type="paragraph" w:styleId="TOC3">
    <w:name w:val="toc 3"/>
    <w:basedOn w:val="Normal"/>
    <w:next w:val="Normal"/>
    <w:uiPriority w:val="39"/>
    <w:pPr>
      <w:spacing w:before="0" w:after="40"/>
      <w:ind w:left="480"/>
      <w:jc w:val="left"/>
    </w:pPr>
  </w:style>
  <w:style w:type="paragraph" w:styleId="TOC4">
    <w:name w:val="toc 4"/>
    <w:basedOn w:val="Normal"/>
    <w:next w:val="Normal"/>
    <w:uiPriority w:val="39"/>
    <w:pPr>
      <w:spacing w:before="0" w:after="40"/>
      <w:ind w:left="720"/>
      <w:jc w:val="left"/>
    </w:pPr>
  </w:style>
  <w:style w:type="paragraph" w:styleId="TOC5">
    <w:name w:val="toc 5"/>
    <w:basedOn w:val="Normal"/>
    <w:next w:val="Normal"/>
    <w:uiPriority w:val="39"/>
    <w:pPr>
      <w:spacing w:before="0" w:after="40"/>
      <w:ind w:left="960"/>
      <w:jc w:val="left"/>
    </w:pPr>
  </w:style>
  <w:style w:type="paragraph" w:styleId="TOC6">
    <w:name w:val="toc 6"/>
    <w:basedOn w:val="Normal"/>
    <w:next w:val="Normal"/>
    <w:uiPriority w:val="39"/>
    <w:pPr>
      <w:spacing w:before="0" w:after="40"/>
      <w:ind w:left="1200"/>
      <w:jc w:val="left"/>
    </w:pPr>
  </w:style>
  <w:style w:type="paragraph" w:styleId="FootnoteText">
    <w:name w:val="footnote text"/>
    <w:basedOn w:val="Caption"/>
    <w:pPr>
      <w:spacing w:before="0" w:after="0" w:line="240" w:lineRule="auto"/>
    </w:pPr>
    <w:rPr>
      <w:i w:val="0"/>
      <w:iCs w:val="0"/>
      <w:sz w:val="16"/>
      <w:szCs w:val="16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pPr>
      <w:spacing w:after="0" w:line="240" w:lineRule="auto"/>
    </w:pPr>
    <w:rPr>
      <w:sz w:val="16"/>
      <w:szCs w:val="16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B5CAD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Header1" Type="http://schemas.openxmlformats.org/officeDocument/2006/relationships/header" Target="header1.xml"/><Relationship Id="rIdFooter1" Type="http://schemas.openxmlformats.org/officeDocument/2006/relationships/footer" Target="footer1.xml"/><Relationship Id="rIdHeader2" Type="http://schemas.openxmlformats.org/officeDocument/2006/relationships/header" Target="header2.xml"/><Relationship Id="rIdFooter2" Type="http://schemas.openxmlformats.org/officeDocument/2006/relationships/footer" Target="footer2.xml"/><Relationship Id="rIdMedia1" Type="http://schemas.openxmlformats.org/officeDocument/2006/relationships/image" Target="media/image1.png"/></Relationships>
</file>

<file path=word/_rels/foot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/Relationships>
</file>

<file path=word/_rels/foot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/Relationships>
</file>

<file path=word/_rels/head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subject>ForgeFlow Manufacturing Ltd</dc:subject>
</cp:coreProperties>
</file>