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gif" ContentType="image/gif"/>
  <Default Extension="odttf" ContentType="application/vnd.openxmlformats-officedocument.obfuscatedFont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7"/>
        <w:gridCol w:w="3657"/>
      </w:tblGrid>
      <w:tr>
        <w:trPr>
          <w:cantSplit/>
        </w:trPr>
        <w:tc>
          <w:tcPr>
            <w:tcW w:w="6207" w:type="dxa"/>
            <w:tcMar>
              <w:right w:w="240" w:type="dxa"/>
            </w:tcMar>
          </w:tcPr>
          <w:p>
            <w:pPr>
              <w:spacing w:before="0" w:after="120"/>
            </w:pPr>
            <w:r>
              <w:rPr>
                <w:b/>
                <w:bCs/>
                <w:color w:val="E8731E"/>
                <w:spacing w:val="28"/>
                <w:sz w:val="15"/>
                <w:szCs w:val="15"/>
              </w:rPr>
              <w:t xml:space="preserve">QUOTATION  ·  </w:t>
            </w:r>
            <w:r>
              <w:rPr>
                <w:b/>
                <w:bCs/>
                <w:color w:val="E8731E"/>
                <w:spacing w:val="28"/>
                <w:sz w:val="15"/>
                <w:szCs w:val="15"/>
              </w:rPr>
              <w:t xml:space="preserve">FF-Q-0284</w:t>
            </w:r>
          </w:p>
          <w:p>
            <w:pPr>
              <w:pStyle w:val="Heading1"/>
              <w:spacing w:after="120" w:line="252" w:lineRule="auto"/>
            </w:pPr>
            <w:bookmarkStart w:id="1" w:name="_n_0fb6f580_9ffe_44d0_ba30_d2b8671c2eb3"/>
            <w:r>
              <w:rPr>
                <w:b/>
                <w:bCs/>
                <w:color w:val="1E2329"/>
                <w:sz w:val="52"/>
                <w:szCs w:val="52"/>
              </w:rPr>
              <w:t xml:space="preserve">Brewhouse cooling loop upgrade</w:t>
            </w:r>
            <w:bookmarkEnd w:id="1"/>
          </w:p>
          <w:p>
            <w:pPr>
              <w:spacing w:after="160"/>
            </w:pPr>
            <w:r>
              <w:rPr>
                <w:color w:val="5B6570"/>
                <w:sz w:val="22"/>
                <w:szCs w:val="22"/>
              </w:rPr>
              <w:t xml:space="preserve">Prepared for </w:t>
            </w:r>
            <w:r>
              <w:rPr>
                <w:b/>
                <w:bCs/>
                <w:color w:val="5B6570"/>
                <w:sz w:val="22"/>
                <w:szCs w:val="22"/>
              </w:rPr>
              <w:t xml:space="preserve">Harrowgate Brewing Co. Ltd</w:t>
            </w:r>
          </w:p>
          <w:p>
            <w:pPr>
              <w:spacing w:line="324" w:lineRule="auto"/>
            </w:pPr>
            <w:r>
              <w:rPr>
                <w:color w:val="2A3038"/>
                <w:sz w:val="20"/>
                <w:szCs w:val="20"/>
              </w:rPr>
              <w:t xml:space="preserve">Second cooling loop for the brewhouse: heat exchanger, pump, actuated valves and a control panel with remote monitoring, supplied as one package with the installation kit.</w:t>
            </w:r>
          </w:p>
        </w:tc>
        <w:tc>
          <w:tcPr>
            <w:tcW w:w="3657" w:type="dxa"/>
          </w:tcPr>
          <w:tbl>
            <w:tblPr>
              <w:tblW w:w="3657" w:type="dxa"/>
              <w:tblBorders>
                <w:top w:val="single" w:sz="4" w:space="0" w:color="D5DAE0"/>
                <w:left w:val="nil"/>
                <w:bottom w:val="single" w:sz="4" w:space="0" w:color="D5DAE0"/>
                <w:right w:val="nil"/>
                <w:insideH w:val="single" w:sz="4" w:space="0" w:color="D5DAE0"/>
                <w:insideV w:val="nil"/>
              </w:tblBorders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>
            <w:tblGrid>
              <w:gridCol w:w="1829"/>
              <w:gridCol w:w="1829"/>
            </w:tblGrid>
            <w:tr>
              <w:trPr>
                <w:cantSplit/>
              </w:trPr>
              <w:tc>
                <w:tcPr>
                  <w:tcW w:w="1829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B6570"/>
                      <w:sz w:val="18"/>
                      <w:szCs w:val="18"/>
                    </w:rPr>
                    <w:t xml:space="preserve">Issue date</w:t>
                  </w:r>
                </w:p>
              </w:tc>
              <w:tc>
                <w:tcPr>
                  <w:tcW w:w="1829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5 Oct 2026</w:t>
                  </w:r>
                </w:p>
              </w:tc>
            </w:tr>
            <w:tr>
              <w:trPr>
                <w:cantSplit/>
              </w:trPr>
              <w:tc>
                <w:tcPr>
                  <w:tcW w:w="1829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B6570"/>
                      <w:sz w:val="18"/>
                      <w:szCs w:val="18"/>
                    </w:rPr>
                    <w:t xml:space="preserve">Valid until</w:t>
                  </w:r>
                </w:p>
              </w:tc>
              <w:tc>
                <w:tcPr>
                  <w:tcW w:w="1829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30 Nov 2026</w:t>
                  </w:r>
                </w:p>
              </w:tc>
            </w:tr>
            <w:tr>
              <w:trPr>
                <w:cantSplit/>
              </w:trPr>
              <w:tc>
                <w:tcPr>
                  <w:tcW w:w="1829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B6570"/>
                      <w:sz w:val="18"/>
                      <w:szCs w:val="18"/>
                    </w:rPr>
                    <w:t xml:space="preserve">Quotation</w:t>
                  </w:r>
                </w:p>
              </w:tc>
              <w:tc>
                <w:tcPr>
                  <w:tcW w:w="1829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FF-Q-0284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spacing w:before="0" w:after="0" w:line="160" w:lineRule="exact"/>
      </w:pPr>
    </w:p>
    <w:tbl>
      <w:tblPr>
        <w:tblW w:w="9865" w:type="dxa"/>
        <w:tblBorders>
          <w:top w:val="single" w:sz="6" w:space="0" w:color="D5DAE0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0" w:type="dxa"/>
          <w:left w:w="200" w:type="dxa"/>
          <w:bottom w:w="200" w:type="dxa"/>
          <w:right w:w="200" w:type="dxa"/>
        </w:tblCellMar>
      </w:tblPr>
      <w:tblGrid>
        <w:gridCol w:w="9865"/>
      </w:tblGrid>
      <w:tr>
        <w:tc>
          <w:tcPr>
            <w:tcW w:w="9865" w:type="dxa"/>
          </w:tcPr>
          <w:tbl>
            <w:tblPr>
              <w:tblW w:w="943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464"/>
              <w:gridCol w:w="3285"/>
              <w:gridCol w:w="2686"/>
            </w:tblGrid>
            <w:tr>
              <w:trPr>
                <w:cantSplit/>
              </w:trPr>
              <w:tc>
                <w:tcPr>
                  <w:tcW w:w="3464" w:type="dxa"/>
                  <w:tcMar>
                    <w:right w:w="240" w:type="dxa"/>
                  </w:tcMar>
                </w:tcPr>
                <w:p>
                  <w:pPr>
                    <w:spacing w:before="0" w:after="80"/>
                  </w:pPr>
                  <w:r>
                    <w:rPr>
                      <w:b/>
                      <w:bCs/>
                      <w:color w:val="5B6570"/>
                      <w:spacing w:val="28"/>
                      <w:sz w:val="15"/>
                      <w:szCs w:val="15"/>
                    </w:rPr>
                    <w:t xml:space="preserve">CUSTOMER</w:t>
                  </w:r>
                </w:p>
                <w:p>
                  <w:r>
                    <w:rPr>
                      <w:b/>
                      <w:bCs/>
                    </w:rPr>
                    <w:t xml:space="preserve">Harrowgate Brewing Co. Ltd</w:t>
                  </w:r>
                  <w:r>
                    <w:rPr/>
                    <w:t xml:space="preserve"/>
                    <w:br/>
                    <w:t xml:space="preserve"/>
                  </w:r>
                  <w:r>
                    <w:rPr/>
                    <w:t xml:space="preserve">Eleanor Marsh</w:t>
                  </w:r>
                  <w:r>
                    <w:rPr/>
                    <w:t xml:space="preserve"/>
                    <w:br/>
                    <w:t xml:space="preserve"/>
                  </w:r>
                  <w:r>
                    <w:rPr/>
                    <w:t xml:space="preserve">Unit 4, Kingsmead Business Park</w:t>
                    <w:br/>
                    <w:t xml:space="preserve">Harrogate</w:t>
                    <w:br/>
                    <w:t xml:space="preserve">HG1 4QR</w:t>
                    <w:br/>
                    <w:t xml:space="preserve">United Kingdom</w:t>
                  </w:r>
                </w:p>
              </w:tc>
              <w:tc>
                <w:tcPr>
                  <w:tcW w:w="3285" w:type="dxa"/>
                  <w:tcMar>
                    <w:right w:w="240" w:type="dxa"/>
                  </w:tcMar>
                </w:tcPr>
                <w:p>
                  <w:pPr>
                    <w:spacing w:before="0" w:after="80"/>
                  </w:pPr>
                  <w:r>
                    <w:rPr>
                      <w:b/>
                      <w:bCs/>
                      <w:color w:val="5B6570"/>
                      <w:spacing w:val="28"/>
                      <w:sz w:val="15"/>
                      <w:szCs w:val="15"/>
                    </w:rPr>
                    <w:t xml:space="preserve">PROJECT</w:t>
                  </w:r>
                </w:p>
                <w:p>
                  <w:r>
                    <w:rPr>
                      <w:b/>
                      <w:bCs/>
                    </w:rPr>
                    <w:t xml:space="preserve">Kingsmead Brewhouse</w:t>
                  </w:r>
                </w:p>
                <w:p>
                  <w:r>
                    <w:rPr/>
                    <w:t xml:space="preserve">Customer reference: </w:t>
                  </w:r>
                  <w:r>
                    <w:rPr/>
                    <w:t xml:space="preserve">HB-CAPEX-0412</w:t>
                  </w:r>
                </w:p>
              </w:tc>
              <w:tc>
                <w:tcPr>
                  <w:tcW w:w="2686" w:type="dxa"/>
                </w:tcPr>
                <w:p>
                  <w:pPr>
                    <w:spacing w:before="0" w:after="80"/>
                  </w:pPr>
                  <w:r>
                    <w:rPr>
                      <w:b/>
                      <w:bCs/>
                      <w:color w:val="5B6570"/>
                      <w:spacing w:val="28"/>
                      <w:sz w:val="15"/>
                      <w:szCs w:val="15"/>
                    </w:rPr>
                    <w:t xml:space="preserve">YOUR CONTACT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</w:rPr>
                    <w:t xml:space="preserve">ForgeFlow</w:t>
                  </w:r>
                </w:p>
                <w:p>
                  <w:pPr>
                    <w:spacing w:after="0"/>
                  </w:pPr>
                  <w:r>
                    <w:rPr/>
                    <w:t xml:space="preserve">sales@forgeflow.example</w:t>
                  </w:r>
                </w:p>
                <w:p>
                  <w:r>
                    <w:rPr/>
                    <w:t xml:space="preserve">+44 20 7946 0742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p>
      <w:pPr>
        <w:spacing w:before="0" w:after="0" w:line="200" w:lineRule="exact"/>
      </w:pPr>
    </w:p>
    <w:tbl>
      <w:tblPr>
        <w:tblW w:w="9865" w:type="dxa"/>
        <w:tblBorders>
          <w:top w:val="single" w:sz="4" w:space="0" w:color="D5DAE0"/>
          <w:left w:val="nil"/>
          <w:bottom w:val="single" w:sz="4" w:space="0" w:color="D5DAE0"/>
          <w:right w:val="nil"/>
          <w:insideH w:val="single" w:sz="4" w:space="0" w:color="D5DAE0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986"/>
        <w:gridCol w:w="3749"/>
        <w:gridCol w:w="1578"/>
        <w:gridCol w:w="592"/>
        <w:gridCol w:w="1381"/>
        <w:gridCol w:w="1578"/>
      </w:tblGrid>
      <w:tr>
        <w:trPr>
          <w:cantSplit/>
          <w:tblHeader/>
        </w:trPr>
        <w:tc>
          <w:tcPr>
            <w:tcW w:w="986" w:type="dxa"/>
            <w:shd w:val="clear" w:color="auto" w:fill="F1F3F6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9"/>
                <w:szCs w:val="19"/>
              </w:rPr>
              <w:t xml:space="preserve"/>
            </w:r>
          </w:p>
        </w:tc>
        <w:tc>
          <w:tcPr>
            <w:tcW w:w="3749" w:type="dxa"/>
            <w:shd w:val="clear" w:color="auto" w:fill="F1F3F6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9"/>
                <w:szCs w:val="19"/>
              </w:rPr>
              <w:t xml:space="preserve">Item</w:t>
            </w:r>
          </w:p>
        </w:tc>
        <w:tc>
          <w:tcPr>
            <w:tcW w:w="1578" w:type="dxa"/>
            <w:shd w:val="clear" w:color="auto" w:fill="F1F3F6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9"/>
                <w:szCs w:val="19"/>
              </w:rPr>
              <w:t xml:space="preserve">Lead time</w:t>
            </w:r>
          </w:p>
        </w:tc>
        <w:tc>
          <w:tcPr>
            <w:tcW w:w="592" w:type="dxa"/>
            <w:shd w:val="clear" w:color="auto" w:fill="F1F3F6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5B6570"/>
                <w:sz w:val="19"/>
                <w:szCs w:val="19"/>
              </w:rPr>
              <w:t xml:space="preserve">Qty</w:t>
            </w:r>
          </w:p>
        </w:tc>
        <w:tc>
          <w:tcPr>
            <w:tcW w:w="1381" w:type="dxa"/>
            <w:shd w:val="clear" w:color="auto" w:fill="F1F3F6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5B6570"/>
                <w:sz w:val="19"/>
                <w:szCs w:val="19"/>
              </w:rPr>
              <w:t xml:space="preserve">Unit price</w:t>
            </w:r>
          </w:p>
        </w:tc>
        <w:tc>
          <w:tcPr>
            <w:tcW w:w="1578" w:type="dxa"/>
            <w:shd w:val="clear" w:color="auto" w:fill="F1F3F6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5B6570"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1" name="Image 1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 descr="Product picture"/>
                          <pic:cNvPicPr/>
                        </pic:nvPicPr>
                        <pic:blipFill>
                          <a:blip r:embed="rIdMedia3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Plate heat exchanger PHE-210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E8731E"/>
                <w:sz w:val="16"/>
                <w:szCs w:val="16"/>
              </w:rPr>
              <w:t xml:space="preserve">FF-HX210</w:t>
            </w:r>
            <w:r>
              <w:rPr>
                <w:color w:val="5B6570"/>
                <w:sz w:val="16"/>
                <w:szCs w:val="16"/>
              </w:rPr>
              <w:t xml:space="preserve">  ·  </w:t>
            </w:r>
            <w:r>
              <w:rPr>
                <w:color w:val="5B6570"/>
                <w:sz w:val="16"/>
                <w:szCs w:val="16"/>
              </w:rPr>
              <w:t xml:space="preserve">Stainless steel plates, EPDM gaskets · 210 kW duty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4 weeks</w:t>
            </w:r>
          </w:p>
        </w:tc>
        <w:tc>
          <w:tcPr>
            <w:tcW w:w="59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£8,650.00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£8,650.00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2" name="Image 2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 descr="Product picture"/>
                          <pic:cNvPicPr/>
                        </pic:nvPicPr>
                        <pic:blipFill>
                          <a:blip r:embed="rIdMedia4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Circulation pump CP-330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E8731E"/>
                <w:sz w:val="16"/>
                <w:szCs w:val="16"/>
              </w:rPr>
              <w:t xml:space="preserve">FF-P330</w:t>
            </w:r>
            <w:r>
              <w:rPr>
                <w:color w:val="5B6570"/>
                <w:sz w:val="16"/>
                <w:szCs w:val="16"/>
              </w:rPr>
              <w:t xml:space="preserve">  ·  </w:t>
            </w:r>
            <w:r>
              <w:rPr>
                <w:color w:val="5B6570"/>
                <w:sz w:val="16"/>
                <w:szCs w:val="16"/>
              </w:rPr>
              <w:t xml:space="preserve">Inline, IE4 motor · 4 kW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3 weeks</w:t>
            </w:r>
          </w:p>
        </w:tc>
        <w:tc>
          <w:tcPr>
            <w:tcW w:w="59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£2,140.00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£4,280.00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3" name="Image 3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 descr="Product picture"/>
                          <pic:cNvPicPr/>
                        </pic:nvPicPr>
                        <pic:blipFill>
                          <a:blip r:embed="rIdMedia5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Butterfly valve BV-115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E8731E"/>
                <w:sz w:val="16"/>
                <w:szCs w:val="16"/>
              </w:rPr>
              <w:t xml:space="preserve">FF-V115</w:t>
            </w:r>
            <w:r>
              <w:rPr>
                <w:color w:val="5B6570"/>
                <w:sz w:val="16"/>
                <w:szCs w:val="16"/>
              </w:rPr>
              <w:t xml:space="preserve">  ·  </w:t>
            </w:r>
            <w:r>
              <w:rPr>
                <w:color w:val="5B6570"/>
                <w:sz w:val="16"/>
                <w:szCs w:val="16"/>
              </w:rPr>
              <w:t xml:space="preserve">Lugged, actuated · DN80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2 weeks</w:t>
            </w:r>
          </w:p>
        </w:tc>
        <w:tc>
          <w:tcPr>
            <w:tcW w:w="59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£395.00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£2,370.00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4" name="Image 4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Product picture"/>
                          <pic:cNvPicPr/>
                        </pic:nvPicPr>
                        <pic:blipFill>
                          <a:blip r:embed="rIdMedia6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Control panel CP-40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E8731E"/>
                <w:sz w:val="16"/>
                <w:szCs w:val="16"/>
              </w:rPr>
              <w:t xml:space="preserve">FF-C040</w:t>
            </w:r>
            <w:r>
              <w:rPr>
                <w:color w:val="5B6570"/>
                <w:sz w:val="16"/>
                <w:szCs w:val="16"/>
              </w:rPr>
              <w:t xml:space="preserve">  ·  </w:t>
            </w:r>
            <w:r>
              <w:rPr>
                <w:color w:val="5B6570"/>
                <w:sz w:val="16"/>
                <w:szCs w:val="16"/>
              </w:rPr>
              <w:t xml:space="preserve">PLC with 7-inch HMI and remote monitoring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5 weeks</w:t>
            </w:r>
          </w:p>
        </w:tc>
        <w:tc>
          <w:tcPr>
            <w:tcW w:w="59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£5,280.00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£5,280.00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5" name="Image 5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 descr="Product picture"/>
                          <pic:cNvPicPr/>
                        </pic:nvPicPr>
                        <pic:blipFill>
                          <a:blip r:embed="rIdMedia7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Pipework installation kit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E8731E"/>
                <w:sz w:val="16"/>
                <w:szCs w:val="16"/>
              </w:rPr>
              <w:t xml:space="preserve">FF-S900</w:t>
            </w:r>
            <w:r>
              <w:rPr>
                <w:color w:val="5B6570"/>
                <w:sz w:val="16"/>
                <w:szCs w:val="16"/>
              </w:rPr>
              <w:t xml:space="preserve">  ·  </w:t>
            </w:r>
            <w:r>
              <w:rPr>
                <w:color w:val="5B6570"/>
                <w:sz w:val="16"/>
                <w:szCs w:val="16"/>
              </w:rPr>
              <w:t xml:space="preserve">Flanges, supports and fixings for one loop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To be confirmed</w:t>
            </w:r>
          </w:p>
        </w:tc>
        <w:tc>
          <w:tcPr>
            <w:tcW w:w="59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£1,175.00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£1,175.00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spacing w:before="0" w:after="0" w:line="20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tbl>
            <w:tblPr>
              <w:tblW w:w="481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0" w:type="dxa"/>
                <w:left w:w="280" w:type="dxa"/>
                <w:bottom w:w="280" w:type="dxa"/>
                <w:right w:w="280" w:type="dxa"/>
              </w:tblCellMar>
            </w:tblPr>
            <w:tblGrid>
              <w:gridCol w:w="4812"/>
            </w:tblGrid>
            <w:tr>
              <w:trPr>
                <w:cantSplit/>
              </w:trPr>
              <w:tc>
                <w:tcPr>
                  <w:tcW w:w="4812" w:type="dxa"/>
                  <w:shd w:val="clear" w:color="auto" w:fill="F1F3F6"/>
                </w:tcPr>
                <w:p>
                  <w:pPr>
                    <w:keepNext/>
                    <w:keepLines/>
                    <w:spacing w:before="0" w:after="80"/>
                  </w:pPr>
                  <w:r>
                    <w:rPr>
                      <w:b/>
                      <w:bCs/>
                      <w:color w:val="E8731E"/>
                      <w:spacing w:val="28"/>
                      <w:sz w:val="15"/>
                      <w:szCs w:val="15"/>
                    </w:rPr>
                    <w:t xml:space="preserve">DEPOSIT</w:t>
                  </w:r>
                </w:p>
                <w:p>
                  <w:pPr>
                    <w:keepNext/>
                    <w:keepLines/>
                    <w:spacing w:line="312" w:lineRule="auto"/>
                  </w:pPr>
                  <w:r>
                    <w:rPr/>
                    <w:t xml:space="preserve">A deposit of </w:t>
                  </w:r>
                  <w:r>
                    <w:rPr>
                      <w:b/>
                      <w:bCs/>
                    </w:rPr>
                    <w:t xml:space="preserve">£7,993.80</w:t>
                  </w:r>
                  <w:r>
                    <w:rPr/>
                    <w:t xml:space="preserve"> (</w:t>
                  </w:r>
                  <w:r>
                    <w:rPr/>
                    <w:t xml:space="preserve">30%</w:t>
                  </w:r>
                  <w:r>
                    <w:rPr/>
                    <w:t xml:space="preserve">) is requested after acceptance. The balance of </w:t>
                  </w:r>
                  <w:r>
                    <w:rPr>
                      <w:b/>
                      <w:bCs/>
                    </w:rPr>
                    <w:t xml:space="preserve">£18,652.20</w:t>
                  </w:r>
                  <w:r>
                    <w:rPr/>
                    <w:t xml:space="preserve"> is payable 30 days from the final invoice date.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</w:tc>
        <w:tc>
          <w:tcPr>
            <w:tcW w:w="4812" w:type="dxa"/>
          </w:tcPr>
          <w:tbl>
            <w:tblPr>
              <w:tblW w:w="4812" w:type="dxa"/>
              <w:tblBorders>
                <w:top w:val="single" w:sz="4" w:space="0" w:color="D5DAE0"/>
                <w:left w:val="nil"/>
                <w:bottom w:val="single" w:sz="4" w:space="0" w:color="D5DAE0"/>
                <w:right w:val="nil"/>
                <w:insideH w:val="single" w:sz="4" w:space="0" w:color="D5DAE0"/>
                <w:insideV w:val="nil"/>
              </w:tblBorders>
              <w:tblLayout w:type="fixed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2406"/>
              <w:gridCol w:w="2406"/>
            </w:tblGrid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£21,755.00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 xml:space="preserve">Freight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£450.00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 xml:space="preserve">VAT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£4,441.00</w:t>
                  </w:r>
                </w:p>
              </w:tc>
            </w:tr>
          </w:tbl>
          <w:p>
            <w:pPr>
              <w:spacing w:before="0" w:after="0" w:line="1" w:lineRule="exact"/>
              <w:rPr>
                <w:sz w:val="2"/>
                <w:szCs w:val="2"/>
              </w:rPr>
            </w:pPr>
          </w:p>
          <w:p>
            <w:pPr>
              <w:spacing w:before="0" w:after="0" w:line="120" w:lineRule="exact"/>
            </w:pPr>
          </w:p>
          <w:tbl>
            <w:tblPr>
              <w:tblW w:w="481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00" w:type="dxa"/>
                <w:left w:w="200" w:type="dxa"/>
                <w:bottom w:w="200" w:type="dxa"/>
                <w:right w:w="200" w:type="dxa"/>
              </w:tblCellMar>
            </w:tblPr>
            <w:tblGrid>
              <w:gridCol w:w="4812"/>
            </w:tblGrid>
            <w:tr>
              <w:trPr>
                <w:cantSplit/>
              </w:trPr>
              <w:tc>
                <w:tcPr>
                  <w:tcW w:w="4812" w:type="dxa"/>
                  <w:shd w:val="clear" w:color="auto" w:fill="1E2329"/>
                </w:tcPr>
                <w:tbl>
                  <w:tblPr>
                    <w:tblW w:w="4412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92"/>
                    <w:gridCol w:w="2921"/>
                  </w:tblGrid>
                  <w:tr>
                    <w:trPr>
                      <w:cantSplit/>
                    </w:trPr>
                    <w:tc>
                      <w:tcPr>
                        <w:tcW w:w="1492" w:type="dxa"/>
                        <w:tcMar>
                          <w:right w:w="240" w:type="dxa"/>
                        </w:tcMar>
                      </w:tcPr>
                      <w:p>
                        <w:pPr>
                          <w:keepNext/>
                          <w:keepLines/>
                          <w:spacing w:before="100"/>
                        </w:pPr>
                        <w:r>
                          <w:rPr>
                            <w:b/>
                            <w:bCs/>
                            <w:color w:val="E8731E"/>
                            <w:spacing w:val="28"/>
                            <w:sz w:val="16"/>
                            <w:szCs w:val="16"/>
                          </w:rPr>
                          <w:t xml:space="preserve">TOTAL</w:t>
                        </w:r>
                      </w:p>
                    </w:tc>
                    <w:tc>
                      <w:tcPr>
                        <w:tcW w:w="2921" w:type="dxa"/>
                      </w:tcPr>
                      <w:p>
                        <w:pPr>
                          <w:keepLines/>
                          <w:jc w:val="right"/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 xml:space="preserve">£26,646.00</w:t>
                        </w:r>
                      </w:p>
                    </w:tc>
                  </w:tr>
                </w:tbl>
                <w:p>
                  <w:pPr>
                    <w:spacing w:before="0" w:after="0" w:line="80" w:lineRule="exact"/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spacing w:before="0" w:after="0" w:line="52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0"/>
        <w:gridCol w:w="3465"/>
      </w:tblGrid>
      <w:tr>
        <w:trPr>
          <w:cantSplit/>
        </w:trPr>
        <w:tc>
          <w:tcPr>
            <w:tcW w:w="6400" w:type="dxa"/>
            <w:tcMar>
              <w:right w:w="240" w:type="dxa"/>
            </w:tcMar>
          </w:tcPr>
          <w:p>
            <w:pPr>
              <w:spacing w:before="0" w:after="120"/>
            </w:pPr>
            <w:r>
              <w:rPr>
                <w:b/>
                <w:bCs/>
                <w:color w:val="E8731E"/>
                <w:spacing w:val="28"/>
                <w:sz w:val="15"/>
                <w:szCs w:val="15"/>
              </w:rPr>
              <w:t xml:space="preserve">QUOTATION  ·  </w:t>
            </w:r>
            <w:r>
              <w:rPr>
                <w:b/>
                <w:bCs/>
                <w:color w:val="E8731E"/>
                <w:spacing w:val="28"/>
                <w:sz w:val="15"/>
                <w:szCs w:val="15"/>
              </w:rPr>
              <w:t xml:space="preserve">FF-Q-0284</w:t>
            </w:r>
          </w:p>
          <w:p>
            <w:pPr>
              <w:pStyle w:val="Heading1"/>
              <w:spacing w:after="40"/>
            </w:pPr>
            <w:bookmarkStart w:id="2" w:name="_db0aa914_ee87_4c56_a8ea_87bc184270a9"/>
            <w:r>
              <w:rPr>
                <w:b/>
                <w:bCs/>
                <w:color w:val="1E2329"/>
                <w:sz w:val="48"/>
                <w:szCs w:val="48"/>
              </w:rPr>
              <w:t xml:space="preserve">Scope &amp; terms</w:t>
            </w:r>
            <w:bookmarkEnd w:id="2"/>
          </w:p>
        </w:tc>
        <w:tc>
          <w:tcPr>
            <w:tcW w:w="3465" w:type="dxa"/>
          </w:tcPr>
          <w:p>
            <w:pPr>
              <w:spacing w:before="0" w:after="0" w:line="20" w:lineRule="exact"/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spacing w:before="280" w:after="80"/>
      </w:pPr>
      <w:bookmarkStart w:id="3" w:name="_n_42db53b5_1353_4dcd_9544_11284c912b65"/>
      <w:r>
        <w:rPr>
          <w:b/>
          <w:bCs/>
          <w:color w:val="1E2329"/>
          <w:sz w:val="23"/>
          <w:szCs w:val="23"/>
        </w:rPr>
        <w:t xml:space="preserve">Scope of supply</w:t>
      </w:r>
      <w:bookmarkEnd w:id="3"/>
    </w:p>
    <w:p>
      <w:r>
        <w:rPr/>
        <w:t xml:space="preserve">Supply of the equipment and quantities listed on page 1, with standard protective packaging, product documentation and delivery to the named site. No substitute products will be supplied without agreement.</w:t>
      </w:r>
    </w:p>
    <w:p>
      <w:pPr>
        <w:pStyle w:val="Heading2"/>
        <w:spacing w:before="280" w:after="80"/>
      </w:pPr>
      <w:bookmarkStart w:id="4" w:name="_e9b747a1_62c0_477e_91aa_39afdc931a77"/>
      <w:r>
        <w:rPr>
          <w:b/>
          <w:bCs/>
          <w:color w:val="1E2329"/>
          <w:sz w:val="23"/>
          <w:szCs w:val="23"/>
        </w:rPr>
        <w:t xml:space="preserve">Commercial terms</w:t>
      </w:r>
      <w:bookmarkEnd w:id="4"/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3288"/>
        <w:gridCol w:w="3288"/>
        <w:gridCol w:w="3288"/>
      </w:tblGrid>
      <w:tr>
        <w:trPr>
          <w:cantSplit/>
        </w:trPr>
        <w:tc>
          <w:tcPr>
            <w:tcW w:w="328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8"/>
                <w:szCs w:val="18"/>
              </w:rPr>
              <w:t xml:space="preserve">Pricing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Firm until the quotation expires</w:t>
            </w:r>
          </w:p>
        </w:tc>
        <w:tc>
          <w:tcPr>
            <w:tcW w:w="328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8"/>
                <w:szCs w:val="18"/>
              </w:rPr>
              <w:t xml:space="preserve">Payment terms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30 days from invoice date</w:t>
            </w:r>
          </w:p>
        </w:tc>
        <w:tc>
          <w:tcPr>
            <w:tcW w:w="328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8"/>
                <w:szCs w:val="18"/>
              </w:rPr>
              <w:t xml:space="preserve">Freight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£450.00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spacing w:before="280" w:after="80"/>
      </w:pPr>
      <w:bookmarkStart w:id="5" w:name="_n_6b190a48_b39d_48d2_a910_3ec88dfe7105"/>
      <w:r>
        <w:rPr>
          <w:b/>
          <w:bCs/>
          <w:color w:val="1E2329"/>
          <w:sz w:val="23"/>
          <w:szCs w:val="23"/>
        </w:rPr>
        <w:t xml:space="preserve">Delivery schedule</w:t>
      </w:r>
      <w:bookmarkEnd w:id="5"/>
    </w:p>
    <w:p>
      <w:r>
        <w:rPr/>
        <w:t xml:space="preserve">Lead times on page 1 are estimates counted from the issue date and confirmed with the order acknowledgement. Items marked “To be confirmed” are scheduled once the fabricator confirms.</w:t>
      </w:r>
    </w:p>
    <w:p>
      <w:pPr>
        <w:pStyle w:val="Heading2"/>
        <w:spacing w:before="280" w:after="80"/>
      </w:pPr>
      <w:bookmarkStart w:id="6" w:name="_e492efb9_0fcd_43c9_b321_67de5b03ba4a"/>
      <w:r>
        <w:rPr>
          <w:b/>
          <w:bCs/>
          <w:color w:val="1E2329"/>
          <w:sz w:val="23"/>
          <w:szCs w:val="23"/>
        </w:rPr>
        <w:t xml:space="preserve">Assumptions &amp; exclusions</w:t>
      </w:r>
      <w:bookmarkEnd w:id="6"/>
    </w:p>
    <w:p>
      <w:r>
        <w:rPr/>
        <w:t xml:space="preserve">The customer confirms connection sizes and site access before order acceptance. Installation, commissioning, civil works and removal of existing equipment are not included.</w:t>
      </w:r>
    </w:p>
    <w:p>
      <w:pPr>
        <w:pStyle w:val="Heading2"/>
        <w:spacing w:before="280" w:after="80"/>
      </w:pPr>
      <w:bookmarkStart w:id="7" w:name="_n_34a02a6c_ac5c_456d_b0b2_a28a3405e8d7"/>
      <w:r>
        <w:rPr>
          <w:b/>
          <w:bCs/>
          <w:color w:val="1E2329"/>
          <w:sz w:val="23"/>
          <w:szCs w:val="23"/>
        </w:rPr>
        <w:t xml:space="preserve">Warranty</w:t>
      </w:r>
      <w:bookmarkEnd w:id="7"/>
    </w:p>
    <w:p>
      <w:r>
        <w:rPr/>
        <w:t xml:space="preserve">Equipment carries the manufacturer’s standard two-year parts warranty from delivery, subject to installation and maintenance in line with the product documentation.</w:t>
      </w:r>
    </w:p>
    <w:p>
      <w:pPr>
        <w:pStyle w:val="Heading2"/>
        <w:keepNext/>
        <w:keepLines/>
        <w:spacing w:before="280" w:after="80"/>
      </w:pPr>
      <w:bookmarkStart w:id="8" w:name="_n_3a1eff2b_f3bf_4ce6_81c8_e711b2bdb583"/>
      <w:r>
        <w:rPr>
          <w:b/>
          <w:bCs/>
          <w:color w:val="1E2329"/>
          <w:sz w:val="23"/>
          <w:szCs w:val="23"/>
        </w:rPr>
        <w:t xml:space="preserve">Cost breakdown</w:t>
      </w:r>
      <w:bookmarkEnd w:id="8"/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p>
            <w:pPr>
              <w:keepNext/>
              <w:spacing w:before="0" w:after="80"/>
              <w:ind w:left="0"/>
              <w:jc w:val="center"/>
            </w:pPr>
            <w:r>
              <w:drawing>
                <wp:inline distT="0" distB="0" distL="0" distR="0">
                  <wp:extent cx="2540000" cy="2286000"/>
                  <wp:effectExtent l="0" t="0" r="0" b="0"/>
                  <wp:docPr id="6" name="Chart 6" descr="Share of the quoted net amount by product family"/>
                  <wp:cNvGraphicFramePr/>
                  <a:graphic>
                    <a:graphicData uri="http://schemas.openxmlformats.org/drawingml/2006/chart">
                      <c:chart r:id="rIdChart1"/>
                    </a:graphicData>
                  </a:graphic>
                </wp:inline>
              </w:drawing>
            </w:r>
          </w:p>
        </w:tc>
        <w:tc>
          <w:tcPr>
            <w:tcW w:w="4812" w:type="dxa"/>
          </w:tcPr>
          <w:tbl>
            <w:tblPr>
              <w:tblW w:w="4812" w:type="dxa"/>
              <w:tblBorders>
                <w:top w:val="single" w:sz="4" w:space="0" w:color="D5DAE0"/>
                <w:left w:val="nil"/>
                <w:bottom w:val="single" w:sz="4" w:space="0" w:color="D5DAE0"/>
                <w:right w:val="nil"/>
                <w:insideH w:val="single" w:sz="4" w:space="0" w:color="D5DAE0"/>
                <w:insideV w:val="nil"/>
              </w:tblBorders>
              <w:tblLayout w:type="fixed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2647"/>
              <w:gridCol w:w="2166"/>
            </w:tblGrid>
            <w:tr>
              <w:trPr>
                <w:cantSplit/>
                <w:tblHeader/>
              </w:trPr>
              <w:tc>
                <w:tcPr>
                  <w:tcW w:w="2647" w:type="dxa"/>
                  <w:shd w:val="clear" w:color="auto" w:fill="F1F3F6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color w:val="5B6570"/>
                      <w:sz w:val="18"/>
                      <w:szCs w:val="18"/>
                    </w:rPr>
                    <w:t xml:space="preserve">Family</w:t>
                  </w:r>
                </w:p>
              </w:tc>
              <w:tc>
                <w:tcPr>
                  <w:tcW w:w="2166" w:type="dxa"/>
                  <w:shd w:val="clear" w:color="auto" w:fill="F1F3F6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color w:val="5B6570"/>
                      <w:sz w:val="18"/>
                      <w:szCs w:val="18"/>
                    </w:rPr>
                    <w:t xml:space="preserve">Net amount</w:t>
                  </w:r>
                </w:p>
              </w:tc>
            </w:tr>
            <w:tr>
              <w:trPr>
                <w:cantSplit/>
              </w:trPr>
              <w:tc>
                <w:tcPr>
                  <w:tcW w:w="2647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Process equipment</w:t>
                  </w:r>
                </w:p>
              </w:tc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£12,930.00</w:t>
                  </w:r>
                </w:p>
              </w:tc>
            </w:tr>
            <w:tr>
              <w:trPr>
                <w:cantSplit/>
              </w:trPr>
              <w:tc>
                <w:tcPr>
                  <w:tcW w:w="2647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Valves and fittings</w:t>
                  </w:r>
                </w:p>
              </w:tc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£2,370.00</w:t>
                  </w:r>
                </w:p>
              </w:tc>
            </w:tr>
            <w:tr>
              <w:trPr>
                <w:cantSplit/>
              </w:trPr>
              <w:tc>
                <w:tcPr>
                  <w:tcW w:w="2647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Controls</w:t>
                  </w:r>
                </w:p>
              </w:tc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£5,280.00</w:t>
                  </w:r>
                </w:p>
              </w:tc>
            </w:tr>
            <w:tr>
              <w:trPr>
                <w:cantSplit/>
              </w:trPr>
              <w:tc>
                <w:tcPr>
                  <w:tcW w:w="2647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Installation</w:t>
                  </w:r>
                </w:p>
              </w:tc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£1,175.00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  <w:p>
            <w:pPr>
              <w:keepLines/>
            </w:pPr>
            <w:r>
              <w:rPr>
                <w:color w:val="5B6570"/>
                <w:sz w:val="16"/>
                <w:szCs w:val="16"/>
              </w:rPr>
              <w:t xml:space="preserve">Net line amounts before freight and tax.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keepNext/>
        <w:keepLines/>
        <w:spacing w:before="280" w:after="80"/>
      </w:pPr>
      <w:bookmarkStart w:id="9" w:name="_n_93bd2b12_f712_846e_8578_59c825074307"/>
      <w:r>
        <w:rPr>
          <w:b/>
          <w:bCs/>
          <w:color w:val="1E2329"/>
          <w:sz w:val="23"/>
          <w:szCs w:val="23"/>
        </w:rPr>
        <w:t xml:space="preserve">Acceptance</w:t>
      </w:r>
      <w:bookmarkEnd w:id="9"/>
    </w:p>
    <w:p>
      <w:pPr>
        <w:keepNext/>
        <w:keepLines/>
      </w:pPr>
      <w:r>
        <w:rPr/>
        <w:t xml:space="preserve">Please confirm the authorised signatory and purchase-order reference.</w:t>
      </w:r>
    </w:p>
    <w:tbl>
      <w:tblPr>
        <w:tblW w:w="9865" w:type="dxa"/>
        <w:tblBorders>
          <w:top w:val="single" w:sz="4" w:space="0" w:color="2A3038"/>
          <w:left w:val="nil"/>
          <w:bottom w:val="single" w:sz="4" w:space="0" w:color="2A3038"/>
          <w:right w:val="nil"/>
          <w:insideH w:val="single" w:sz="4" w:space="0" w:color="2A3038"/>
          <w:insideV w:val="nil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</w:tblPr>
      <w:tblGrid>
        <w:gridCol w:w="2959"/>
        <w:gridCol w:w="2466"/>
        <w:gridCol w:w="2663"/>
        <w:gridCol w:w="1776"/>
      </w:tblGrid>
      <w:tr>
        <w:trPr>
          <w:cantSplit/>
        </w:trPr>
        <w:tc>
          <w:tcPr>
            <w:tcW w:w="2959" w:type="dxa"/>
            <w:shd w:val="clear" w:color="auto" w:fill="FFFFFF"/>
            <w:vAlign w:val="bottom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8"/>
                <w:szCs w:val="18"/>
              </w:rPr>
              <w:t xml:space="preserve">Accepted by</w:t>
            </w:r>
          </w:p>
        </w:tc>
        <w:tc>
          <w:tcPr>
            <w:tcW w:w="2466" w:type="dxa"/>
            <w:shd w:val="clear" w:color="auto" w:fill="FFFFFF"/>
            <w:vAlign w:val="bottom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8"/>
                <w:szCs w:val="18"/>
              </w:rPr>
              <w:t xml:space="preserve">Position</w:t>
            </w:r>
          </w:p>
        </w:tc>
        <w:tc>
          <w:tcPr>
            <w:tcW w:w="2663" w:type="dxa"/>
            <w:shd w:val="clear" w:color="auto" w:fill="FFFFFF"/>
            <w:vAlign w:val="bottom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8"/>
                <w:szCs w:val="18"/>
              </w:rPr>
              <w:t xml:space="preserve">Signature</w:t>
            </w:r>
          </w:p>
        </w:tc>
        <w:tc>
          <w:tcPr>
            <w:tcW w:w="1776" w:type="dxa"/>
            <w:shd w:val="clear" w:color="auto" w:fill="FFFFFF"/>
            <w:vAlign w:val="bottom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B6570"/>
                <w:sz w:val="18"/>
                <w:szCs w:val="18"/>
              </w:rPr>
              <w:t xml:space="preserve">Date</w:t>
            </w:r>
          </w:p>
        </w:tc>
      </w:tr>
      <w:tr>
        <w:trPr>
          <w:cantSplit/>
        </w:trPr>
        <w:tc>
          <w:tcPr>
            <w:tcW w:w="2959" w:type="dxa"/>
            <w:vAlign w:val="bottom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 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 </w:t>
            </w:r>
          </w:p>
        </w:tc>
        <w:tc>
          <w:tcPr>
            <w:tcW w:w="2466" w:type="dxa"/>
            <w:vAlign w:val="bottom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</w:p>
        </w:tc>
        <w:tc>
          <w:tcPr>
            <w:tcW w:w="2663" w:type="dxa"/>
            <w:vAlign w:val="bottom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</w:p>
        </w:tc>
        <w:tc>
          <w:tcPr>
            <w:tcW w:w="1776" w:type="dxa"/>
            <w:vAlign w:val="bottom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 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sectPr>
      <w:headerReference w:type="default" r:id="rIdHeader1"/>
      <w:headerReference w:type="first" r:id="rIdHeader2"/>
      <w:footerReference w:type="default" r:id="rIdFooter1"/>
      <w:footerReference w:type="first" r:id="rIdFooter2"/>
      <w:pgSz w:w="11906" w:h="16838"/>
      <w:pgMar w:top="1209" w:right="1020" w:bottom="1158" w:left="1020" w:header="240" w:footer="240" w:gutter="0"/>
      <w:pgNumType w:start="1"/>
      <w:titlePg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Inter">
    <w:altName w:val="Arial"/>
    <w:family w:val="auto"/>
    <w:pitch w:val="variable"/>
    <w:embedRegular r:id="rIdFont1" w:fontKey="{786F3D61-F96C-0B22-F766-74F4A707B982}"/>
    <w:embedBold r:id="rIdFont2" w:fontKey="{C18DB64F-206F-510B-89E3-FA0ED5F3AA2E}"/>
    <w:embedItalic r:id="rIdFont3" w:fontKey="{66482BBF-97A9-2F64-BC8A-25F3A9AEABCC}"/>
    <w:embedBoldItalic r:id="rIdFont4" w:fontKey="{4B6C59A1-C277-40F4-3AC2-87907C308823}"/>
  </w:font>
  <w:font w:name="Inter Display">
    <w:altName w:val="Arial"/>
    <w:family w:val="auto"/>
    <w:pitch w:val="variable"/>
    <w:embedRegular r:id="rIdFont5" w:fontKey="{794907D5-FFA5-ADC6-92AC-640BB86DE5AE}"/>
    <w:embedBold r:id="rIdFont6" w:fontKey="{7ECA1A1B-C905-8023-5480-8C970C290258}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ForgeFlow Manufacturing Ltd. Registered in England and Wales, no. EX000742. Registered office: 42 Example Works,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ForgeFlow Manufacturing Ltd. Registered in England and Wales, no. EX000742. Registered office: 42 Example Works,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360" w:lineRule="exact"/>
      <w:ind w:left="0"/>
      <w:jc w:val="left"/>
    </w:pPr>
    <w:r>
      <w:drawing>
        <wp:inline distT="0" distB="0" distL="0" distR="0">
          <wp:extent cx="203200" cy="203200"/>
          <wp:effectExtent l="0" t="0" r="0" b="0"/>
          <wp:docPr id="7" name="Image 7" descr="ForgeFlow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" name="Image 7" descr="ForgeFlow mark"/>
                  <pic:cNvPicPr/>
                </pic:nvPicPr>
                <pic:blipFill>
                  <a:blip r:embed="rIdMedia2"/>
                  <a:stretch>
                    <a:fillRect/>
                  </a:stretch>
                </pic:blipFill>
                <pic:spPr>
                  <a:xfrm>
                    <a:off x="0" y="0"/>
                    <a:ext cx="203200" cy="20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color w:val="5B6570"/>
      </w:rPr>
      <w:t xml:space="preserve">ForgeFlow Manufacturing Ltd</w:t>
    </w:r>
  </w:p>
  <w:p>
    <w:pPr>
      <w:pStyle w:val="PageFurniture"/>
      <w:pBdr>
        <w:bottom w:val="single" w:sz="4" w:space="1" w:color="D5DAE0"/>
      </w:pBdr>
      <w:spacing w:before="0" w:after="0" w:line="85" w:lineRule="exact"/>
      <w:ind w:left="0"/>
    </w:pPr>
  </w:p>
  <w:p>
    <w:pPr>
      <w:pStyle w:val="PageFurniture"/>
      <w:spacing w:before="0" w:after="0" w:line="85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560" w:lineRule="exact"/>
      <w:ind w:left="0"/>
      <w:jc w:val="left"/>
    </w:pPr>
    <w:r>
      <w:drawing>
        <wp:inline distT="0" distB="0" distL="0" distR="0">
          <wp:extent cx="1665351" cy="330199"/>
          <wp:effectExtent l="0" t="0" r="0" b="0"/>
          <wp:docPr id="8" name="Image 8" descr="ForgeFlow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 8" descr="ForgeFlow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1665351" cy="330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b/>
        <w:bCs/>
      </w:rPr>
      <w:t xml:space="preserve">ForgeFlow Manufacturing Ltd</w:t>
    </w:r>
  </w:p>
  <w:p>
    <w:pPr>
      <w:pStyle w:val="PageFurniture"/>
      <w:jc w:val="right"/>
    </w:pPr>
    <w:r>
      <w:rPr>
        <w:color w:val="5B6570"/>
      </w:rPr>
      <w:t xml:space="preserve">42 Example Works, Sampleton</w:t>
    </w:r>
  </w:p>
  <w:p>
    <w:pPr>
      <w:pStyle w:val="PageFurniture"/>
      <w:jc w:val="right"/>
    </w:pPr>
    <w:r>
      <w:rPr>
        <w:color w:val="5B6570"/>
      </w:rPr>
      <w:t xml:space="preserve">+44 20 7946 0742 · https://forgeflow.example</w:t>
    </w:r>
  </w:p>
  <w:p>
    <w:pPr>
      <w:pStyle w:val="PageFurniture"/>
      <w:pBdr>
        <w:bottom w:val="single" w:sz="12" w:space="1" w:color="1E2329"/>
      </w:pBdr>
      <w:spacing w:before="0" w:after="0" w:line="95" w:lineRule="exact"/>
      <w:ind w:left="0"/>
    </w:pPr>
  </w:p>
  <w:p>
    <w:pPr>
      <w:pStyle w:val="PageFurniture"/>
      <w:spacing w:before="0" w:after="0" w:line="95" w:lineRule="exact"/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embedTrueTypeFonts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2A3038"/>
        <w:sz w:val="19"/>
        <w:szCs w:val="19"/>
        <w:lang w:val="en-GB"/>
      </w:rPr>
    </w:rPrDefault>
    <w:pPrDefault>
      <w:pPr>
        <w:widowControl/>
        <w:spacing w:after="120" w:line="276" w:lineRule="auto"/>
      </w:pPr>
    </w:pPrDefault>
  </w:docDefaults>
  <w:style w:type="paragraph" w:default="1" w:styleId="Normal">
    <w:name w:val="Normal"/>
    <w:qFormat/>
    <w:pPr>
      <w:spacing w:before="0" w:after="120" w:line="276" w:lineRule="auto"/>
    </w:pPr>
    <w:rPr>
      <w:color w:val="2A3038"/>
      <w:sz w:val="19"/>
      <w:szCs w:val="19"/>
    </w:rPr>
  </w:style>
  <w:style w:type="paragraph" w:styleId="Title">
    <w:name w:val="Title"/>
    <w:basedOn w:val="Normal"/>
    <w:next w:val="Normal"/>
    <w:qFormat/>
    <w:pPr>
      <w:keepNext/>
      <w:keepLines/>
      <w:spacing w:before="0" w:after="120" w:line="276" w:lineRule="auto"/>
      <w:ind w:left="0"/>
      <w:jc w:val="left"/>
    </w:pPr>
    <w:rPr>
      <w:rFonts w:ascii="Inter Display" w:hAnsi="Inter Display" w:eastAsia="Inter Display" w:cs="Inter Display"/>
      <w:b/>
      <w:bCs/>
      <w:color w:val="1E2329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0" w:after="160" w:line="276" w:lineRule="auto"/>
      <w:ind w:left="0"/>
      <w:jc w:val="left"/>
    </w:pPr>
    <w:rPr>
      <w:color w:val="595959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0"/>
    </w:pPr>
    <w:rPr>
      <w:rFonts w:ascii="Inter Display" w:hAnsi="Inter Display" w:eastAsia="Inter Display" w:cs="Inter Display"/>
      <w:b/>
      <w:bCs/>
      <w:color w:val="1E2329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1"/>
    </w:pPr>
    <w:rPr>
      <w:rFonts w:ascii="Inter Display" w:hAnsi="Inter Display" w:eastAsia="Inter Display" w:cs="Inter Display"/>
      <w:b/>
      <w:bCs/>
      <w:color w:val="1E2329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2"/>
    </w:pPr>
    <w:rPr>
      <w:rFonts w:ascii="Inter Display" w:hAnsi="Inter Display" w:eastAsia="Inter Display" w:cs="Inter Display"/>
      <w:b/>
      <w:bCs/>
      <w:color w:val="1E2329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3"/>
    </w:pPr>
    <w:rPr>
      <w:rFonts w:ascii="Inter Display" w:hAnsi="Inter Display" w:eastAsia="Inter Display" w:cs="Inter Display"/>
      <w:b/>
      <w:bCs/>
      <w:color w:val="1E2329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4"/>
    </w:pPr>
    <w:rPr>
      <w:rFonts w:ascii="Inter Display" w:hAnsi="Inter Display" w:eastAsia="Inter Display" w:cs="Inter Display"/>
      <w:b/>
      <w:bCs/>
      <w:color w:val="1E2329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5"/>
    </w:pPr>
    <w:rPr>
      <w:rFonts w:ascii="Inter Display" w:hAnsi="Inter Display" w:eastAsia="Inter Display" w:cs="Inter Display"/>
      <w:b/>
      <w:bCs/>
      <w:color w:val="1E2329"/>
      <w:sz w:val="20"/>
      <w:szCs w:val="20"/>
    </w:rPr>
  </w:style>
  <w:style w:type="paragraph" w:styleId="Caption">
    <w:name w:val="caption"/>
    <w:basedOn w:val="Normal"/>
    <w:next w:val="Normal"/>
    <w:qFormat/>
    <w:pPr>
      <w:spacing w:before="0" w:after="80" w:line="276" w:lineRule="auto"/>
      <w:ind w:left="0"/>
      <w:jc w:val="left"/>
    </w:pPr>
    <w:rPr>
      <w:i/>
      <w:iCs/>
      <w:color w:val="595959"/>
      <w:sz w:val="18"/>
      <w:szCs w:val="18"/>
    </w:rPr>
  </w:style>
  <w:style w:type="paragraph" w:styleId="Quote">
    <w:name w:val="Quote"/>
    <w:basedOn w:val="Normal"/>
    <w:next w:val="Normal"/>
    <w:qFormat/>
    <w:pPr>
      <w:spacing w:before="120" w:after="120" w:line="276" w:lineRule="auto"/>
      <w:ind w:left="480"/>
      <w:jc w:val="left"/>
    </w:pPr>
    <w:rPr>
      <w:i/>
      <w:iCs/>
      <w:color w:val="404040"/>
      <w:sz w:val="20"/>
      <w:szCs w:val="20"/>
    </w:rPr>
  </w:style>
  <w:style w:type="paragraph" w:styleId="PageFurniture">
    <w:name w:val="Page Furniture"/>
    <w:basedOn w:val="Normal"/>
    <w:next w:val="Normal"/>
    <w:qFormat/>
    <w:pPr>
      <w:spacing w:before="0" w:after="40" w:line="276" w:lineRule="auto"/>
      <w:ind w:left="0"/>
      <w:jc w:val="left"/>
    </w:pPr>
    <w:rPr>
      <w:color w:val="2A3038"/>
      <w:sz w:val="16"/>
      <w:szCs w:val="16"/>
    </w:rPr>
  </w:style>
  <w:style w:type="paragraph" w:styleId="TOCHeading">
    <w:name w:val="TOC Heading"/>
    <w:basedOn w:val="Normal"/>
    <w:next w:val="Normal"/>
    <w:qFormat/>
    <w:pPr>
      <w:keepNext/>
      <w:keepLines/>
      <w:spacing w:before="160" w:after="80" w:line="276" w:lineRule="auto"/>
      <w:ind w:left="0"/>
      <w:jc w:val="left"/>
    </w:pPr>
    <w:rPr>
      <w:b/>
      <w:bCs/>
      <w:color w:val="2A3038"/>
      <w:sz w:val="30"/>
      <w:szCs w:val="30"/>
    </w:rPr>
  </w:style>
  <w:style w:type="paragraph" w:styleId="SmallPrint">
    <w:name w:val="Small Print"/>
    <w:basedOn w:val="Normal"/>
    <w:next w:val="Normal"/>
    <w:qFormat/>
    <w:pPr>
      <w:spacing w:before="0" w:after="80" w:line="276" w:lineRule="auto"/>
      <w:ind w:left="0"/>
      <w:jc w:val="left"/>
    </w:pPr>
    <w:rPr>
      <w:color w:val="5B6570"/>
      <w:sz w:val="16"/>
      <w:szCs w:val="16"/>
    </w:rPr>
  </w:style>
  <w:style w:type="paragraph" w:styleId="TOC1">
    <w:name w:val="toc 1"/>
    <w:basedOn w:val="Normal"/>
    <w:next w:val="Normal"/>
    <w:uiPriority w:val="39"/>
    <w:pPr>
      <w:spacing w:before="0" w:after="40"/>
      <w:ind w:left="0"/>
      <w:jc w:val="left"/>
    </w:pPr>
  </w:style>
  <w:style w:type="paragraph" w:styleId="TOC2">
    <w:name w:val="toc 2"/>
    <w:basedOn w:val="Normal"/>
    <w:next w:val="Normal"/>
    <w:uiPriority w:val="39"/>
    <w:pPr>
      <w:spacing w:before="0" w:after="40"/>
      <w:ind w:left="240"/>
      <w:jc w:val="left"/>
    </w:pPr>
  </w:style>
  <w:style w:type="paragraph" w:styleId="TOC3">
    <w:name w:val="toc 3"/>
    <w:basedOn w:val="Normal"/>
    <w:next w:val="Normal"/>
    <w:uiPriority w:val="39"/>
    <w:pPr>
      <w:spacing w:before="0" w:after="40"/>
      <w:ind w:left="480"/>
      <w:jc w:val="left"/>
    </w:pPr>
  </w:style>
  <w:style w:type="paragraph" w:styleId="TOC4">
    <w:name w:val="toc 4"/>
    <w:basedOn w:val="Normal"/>
    <w:next w:val="Normal"/>
    <w:uiPriority w:val="39"/>
    <w:pPr>
      <w:spacing w:before="0" w:after="40"/>
      <w:ind w:left="720"/>
      <w:jc w:val="left"/>
    </w:pPr>
  </w:style>
  <w:style w:type="paragraph" w:styleId="TOC5">
    <w:name w:val="toc 5"/>
    <w:basedOn w:val="Normal"/>
    <w:next w:val="Normal"/>
    <w:uiPriority w:val="39"/>
    <w:pPr>
      <w:spacing w:before="0" w:after="40"/>
      <w:ind w:left="960"/>
      <w:jc w:val="left"/>
    </w:pPr>
  </w:style>
  <w:style w:type="paragraph" w:styleId="TOC6">
    <w:name w:val="toc 6"/>
    <w:basedOn w:val="Normal"/>
    <w:next w:val="Normal"/>
    <w:uiPriority w:val="39"/>
    <w:pPr>
      <w:spacing w:before="0" w:after="40"/>
      <w:ind w:left="1200"/>
      <w:jc w:val="left"/>
    </w:pPr>
  </w:style>
  <w:style w:type="paragraph" w:styleId="FootnoteText">
    <w:name w:val="footnote text"/>
    <w:basedOn w:val="Caption"/>
    <w:pPr>
      <w:spacing w:before="0" w:after="0" w:line="240" w:lineRule="auto"/>
    </w:pPr>
    <w:rPr>
      <w:i w:val="0"/>
      <w:iCs w:val="0"/>
      <w:sz w:val="16"/>
      <w:szCs w:val="16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pPr>
      <w:spacing w:after="0" w:line="240" w:lineRule="auto"/>
    </w:pPr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B5CAD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Header1" Type="http://schemas.openxmlformats.org/officeDocument/2006/relationships/header" Target="header1.xml"/><Relationship Id="rIdFooter1" Type="http://schemas.openxmlformats.org/officeDocument/2006/relationships/footer" Target="footer1.xml"/><Relationship Id="rIdHeader2" Type="http://schemas.openxmlformats.org/officeDocument/2006/relationships/header" Target="header2.xml"/><Relationship Id="rIdFooter2" Type="http://schemas.openxmlformats.org/officeDocument/2006/relationships/footer" Target="footer2.xml"/><Relationship Id="rIdChart1" Type="http://schemas.openxmlformats.org/officeDocument/2006/relationships/chart" Target="charts/chart1.xml"/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Relationship Id="rIdFont6" Type="http://schemas.openxmlformats.org/officeDocument/2006/relationships/font" Target="fonts/font6.odttf"/></Relationships>
</file>

<file path=word/_rels/foot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/Relationships>
</file>

<file path=word/_rels/foot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/Relationships>
</file>

<file path=word/_rels/head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/Relationships>
</file>

<file path=word/_rels/head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roundedCorners val="0"/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E8731E"/>
              </a:solidFill>
            </c:spPr>
          </c:dPt>
          <c:dPt>
            <c:idx val="1"/>
            <c:bubble3D val="0"/>
            <c:spPr>
              <a:solidFill>
                <a:srgbClr val="1E2329"/>
              </a:solidFill>
            </c:spPr>
          </c:dPt>
          <c:dPt>
            <c:idx val="2"/>
            <c:bubble3D val="0"/>
            <c:spPr>
              <a:solidFill>
                <a:srgbClr val="5B6570"/>
              </a:solidFill>
            </c:spPr>
          </c:dPt>
          <c:dPt>
            <c:idx val="3"/>
            <c:bubble3D val="0"/>
            <c:spPr>
              <a:solidFill>
                <a:srgbClr val="9AA4AF"/>
              </a:solidFill>
            </c:spPr>
          </c:dPt>
          <c:dLbls>
            <c:dLbl>
              <c:idx val="0"/>
              <c:numFmt formatCode="0%" sourceLinked="0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700" b="0">
                      <a:solidFill>
                        <a:srgbClr val="FFFFFF"/>
                      </a:solidFill>
                    </a:defRPr>
                  </a:pPr>
                  <a:endParaRPr lang="en-GB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numFmt formatCode="0%" sourceLinked="0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700" b="0">
                      <a:solidFill>
                        <a:srgbClr val="FFFFFF"/>
                      </a:solidFill>
                    </a:defRPr>
                  </a:pPr>
                  <a:endParaRPr lang="en-GB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numFmt formatCode="0%" sourceLinked="0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700" b="0">
                      <a:solidFill>
                        <a:srgbClr val="FFFFFF"/>
                      </a:solidFill>
                    </a:defRPr>
                  </a:pPr>
                  <a:endParaRPr lang="en-GB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numFmt formatCode="0%" sourceLinked="0"/>
              <c:spPr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700" b="0">
                      <a:solidFill>
                        <a:srgbClr val="1F2933"/>
                      </a:solidFill>
                    </a:defRPr>
                  </a:pPr>
                  <a:endParaRPr lang="en-GB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%" sourceLinked="0"/>
            <c:spPr>
              <a:noFill/>
              <a:ln>
                <a:noFill/>
              </a:ln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Lit>
              <c:ptCount val="4"/>
              <c:pt idx="0">
                <c:v>Process equipment</c:v>
              </c:pt>
              <c:pt idx="1">
                <c:v>Valves and fittings</c:v>
              </c:pt>
              <c:pt idx="2">
                <c:v>Controls</c:v>
              </c:pt>
              <c:pt idx="3">
                <c:v>Installation</c:v>
              </c:pt>
            </c:strLit>
          </c:cat>
          <c:val>
            <c:numLit>
              <c:formatCode>"£"#,##0</c:formatCode>
              <c:ptCount val="4"/>
              <c:pt idx="0">
                <c:v>12930</c:v>
              </c:pt>
              <c:pt idx="1">
                <c:v>2370</c:v>
              </c:pt>
              <c:pt idx="2">
                <c:v>5280</c:v>
              </c:pt>
              <c:pt idx="3">
                <c:v>1175</c:v>
              </c:pt>
            </c:numLit>
          </c:val>
        </c:ser>
        <c:firstSliceAng val="0"/>
        <c:holeSize val="50"/>
      </c:doughnutChart>
    </c:plotArea>
    <c:legend>
      <c:legendPos val="b"/>
      <c:overlay val="0"/>
    </c:legend>
    <c:plotVisOnly val="1"/>
    <c:dispBlanksAs val="gap"/>
  </c:chart>
  <c:spPr>
    <a:noFill/>
    <a:ln>
      <a:noFill/>
    </a:ln>
  </c:spPr>
  <c:txPr>
    <a:bodyPr/>
    <a:lstStyle/>
    <a:p>
      <a:pPr>
        <a:defRPr sz="800"/>
      </a:pPr>
      <a:endParaRPr lang="en-GB"/>
    </a:p>
  </c:txPr>
</c:chartSpac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subject>ForgeFlow Manufacturing Ltd</dc:subject>
</cp:coreProperties>
</file>